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3F9907">
      <w:pPr>
        <w:adjustRightInd w:val="0"/>
        <w:snapToGrid w:val="0"/>
        <w:spacing w:line="288" w:lineRule="auto"/>
        <w:rPr>
          <w:rFonts w:eastAsia="黑体"/>
          <w:color w:val="000000"/>
          <w:sz w:val="36"/>
          <w:szCs w:val="36"/>
          <w:lang w:eastAsia="zh-CN"/>
        </w:rPr>
      </w:pPr>
      <w:r>
        <w:rPr>
          <w:rFonts w:hint="eastAsia" w:eastAsia="黑体"/>
          <w:color w:val="000000"/>
          <w:lang w:eastAsia="zh-CN"/>
        </w:rPr>
        <w:t>注：行距、字体字号等格式作者可不进行调整，作者重点关注文章内容完整、写作逻辑通顺、数据准确且全文一致、具有一定创新性。</w:t>
      </w:r>
    </w:p>
    <w:p w14:paraId="41DE6128">
      <w:pPr>
        <w:adjustRightInd w:val="0"/>
        <w:snapToGrid w:val="0"/>
        <w:spacing w:line="288" w:lineRule="auto"/>
        <w:jc w:val="center"/>
        <w:rPr>
          <w:rFonts w:eastAsia="黑体"/>
          <w:b/>
          <w:sz w:val="36"/>
          <w:szCs w:val="36"/>
          <w:lang w:eastAsia="zh-CN"/>
        </w:rPr>
      </w:pPr>
      <w:r>
        <w:rPr>
          <w:rFonts w:eastAsia="黑体"/>
          <w:color w:val="000000"/>
          <w:sz w:val="36"/>
          <w:szCs w:val="36"/>
          <w:lang w:eastAsia="zh-CN"/>
        </w:rPr>
        <w:t>题名</w:t>
      </w:r>
      <w:r>
        <w:rPr>
          <w:color w:val="000000"/>
          <w:sz w:val="18"/>
          <w:szCs w:val="18"/>
          <w:lang w:eastAsia="zh-CN"/>
        </w:rPr>
        <w:t>（黑体，小二，居中）</w:t>
      </w:r>
    </w:p>
    <w:p w14:paraId="0B421D8A">
      <w:pPr>
        <w:adjustRightInd w:val="0"/>
        <w:snapToGrid w:val="0"/>
        <w:spacing w:line="288" w:lineRule="auto"/>
        <w:jc w:val="center"/>
        <w:rPr>
          <w:sz w:val="21"/>
          <w:szCs w:val="21"/>
          <w:lang w:eastAsia="zh-CN"/>
        </w:rPr>
      </w:pPr>
      <w:r>
        <w:rPr>
          <w:sz w:val="21"/>
          <w:szCs w:val="21"/>
          <w:lang w:eastAsia="zh-CN"/>
        </w:rPr>
        <w:t>（空一行）</w:t>
      </w:r>
    </w:p>
    <w:p w14:paraId="02740117">
      <w:pPr>
        <w:adjustRightInd w:val="0"/>
        <w:snapToGrid w:val="0"/>
        <w:spacing w:line="288" w:lineRule="auto"/>
        <w:jc w:val="center"/>
        <w:rPr>
          <w:sz w:val="28"/>
          <w:szCs w:val="28"/>
          <w:lang w:eastAsia="zh-CN"/>
        </w:rPr>
      </w:pPr>
      <w:r>
        <w:rPr>
          <w:rFonts w:eastAsia="仿宋"/>
          <w:color w:val="000000"/>
          <w:sz w:val="28"/>
          <w:szCs w:val="28"/>
          <w:lang w:eastAsia="zh-CN"/>
        </w:rPr>
        <w:t>作者名</w:t>
      </w:r>
      <w:r>
        <w:rPr>
          <w:rFonts w:eastAsia="仿宋"/>
          <w:color w:val="000000"/>
          <w:sz w:val="28"/>
          <w:szCs w:val="28"/>
          <w:vertAlign w:val="superscript"/>
          <w:lang w:eastAsia="zh-CN"/>
        </w:rPr>
        <w:t>1</w:t>
      </w:r>
      <w:r>
        <w:rPr>
          <w:rFonts w:eastAsia="仿宋"/>
          <w:color w:val="000000"/>
          <w:sz w:val="28"/>
          <w:szCs w:val="28"/>
          <w:lang w:eastAsia="zh-CN"/>
        </w:rPr>
        <w:t>，张 珊</w:t>
      </w:r>
      <w:r>
        <w:rPr>
          <w:rFonts w:eastAsia="仿宋"/>
          <w:color w:val="000000"/>
          <w:sz w:val="28"/>
          <w:szCs w:val="28"/>
          <w:vertAlign w:val="superscript"/>
          <w:lang w:eastAsia="zh-CN"/>
        </w:rPr>
        <w:t>1,2</w:t>
      </w:r>
      <w:r>
        <w:rPr>
          <w:rFonts w:eastAsia="仿宋"/>
          <w:color w:val="000000"/>
          <w:sz w:val="28"/>
          <w:szCs w:val="28"/>
          <w:lang w:eastAsia="zh-CN"/>
        </w:rPr>
        <w:t>，Given Name SURNAME</w:t>
      </w:r>
      <w:r>
        <w:rPr>
          <w:rFonts w:eastAsia="仿宋"/>
          <w:color w:val="000000"/>
          <w:sz w:val="28"/>
          <w:szCs w:val="28"/>
          <w:vertAlign w:val="superscript"/>
          <w:lang w:eastAsia="zh-CN"/>
        </w:rPr>
        <w:t>3*</w:t>
      </w:r>
      <w:r>
        <w:rPr>
          <w:color w:val="000000"/>
          <w:sz w:val="18"/>
          <w:szCs w:val="18"/>
          <w:lang w:eastAsia="zh-CN"/>
        </w:rPr>
        <w:t>（</w:t>
      </w:r>
      <w:r>
        <w:rPr>
          <w:rFonts w:hint="eastAsia"/>
          <w:b/>
          <w:bCs/>
          <w:color w:val="FF0000"/>
          <w:sz w:val="18"/>
          <w:szCs w:val="18"/>
          <w:lang w:eastAsia="zh-CN"/>
        </w:rPr>
        <w:t>稿件录用后不接受作者变动。</w:t>
      </w:r>
      <w:r>
        <w:rPr>
          <w:bCs/>
          <w:sz w:val="18"/>
          <w:szCs w:val="18"/>
          <w:lang w:eastAsia="zh-CN"/>
        </w:rPr>
        <w:t>仿宋/Times new Roman，四号，居中</w:t>
      </w:r>
      <w:r>
        <w:rPr>
          <w:color w:val="000000"/>
          <w:sz w:val="18"/>
          <w:szCs w:val="18"/>
          <w:lang w:eastAsia="zh-CN"/>
        </w:rPr>
        <w:t>）</w:t>
      </w:r>
    </w:p>
    <w:p w14:paraId="375A8D8C">
      <w:pPr>
        <w:spacing w:line="288" w:lineRule="auto"/>
        <w:jc w:val="center"/>
        <w:rPr>
          <w:sz w:val="18"/>
          <w:szCs w:val="18"/>
          <w:lang w:eastAsia="zh-CN"/>
        </w:rPr>
      </w:pPr>
      <w:r>
        <w:rPr>
          <w:sz w:val="18"/>
          <w:szCs w:val="18"/>
          <w:lang w:eastAsia="zh-CN"/>
        </w:rPr>
        <w:t xml:space="preserve">（1.作者工作单位，单位所在城市 邮政编码；2. </w:t>
      </w:r>
      <w:r>
        <w:rPr>
          <w:rFonts w:hint="eastAsia"/>
          <w:sz w:val="18"/>
          <w:szCs w:val="18"/>
          <w:lang w:eastAsia="zh-CN"/>
        </w:rPr>
        <w:t>山东大学 数学学院</w:t>
      </w:r>
      <w:r>
        <w:rPr>
          <w:sz w:val="18"/>
          <w:szCs w:val="18"/>
          <w:lang w:eastAsia="zh-CN"/>
        </w:rPr>
        <w:t>，山东济南 250100；3. D</w:t>
      </w:r>
      <w:r>
        <w:rPr>
          <w:sz w:val="18"/>
          <w:szCs w:val="18"/>
        </w:rPr>
        <w:t xml:space="preserve">ept. name of organization, </w:t>
      </w:r>
      <w:r>
        <w:rPr>
          <w:sz w:val="18"/>
          <w:szCs w:val="18"/>
          <w:lang w:eastAsia="zh-CN"/>
        </w:rPr>
        <w:t>N</w:t>
      </w:r>
      <w:r>
        <w:rPr>
          <w:sz w:val="18"/>
          <w:szCs w:val="18"/>
        </w:rPr>
        <w:t>ame of organization, City, Country, Postal code）</w:t>
      </w:r>
      <w:r>
        <w:rPr>
          <w:sz w:val="18"/>
          <w:szCs w:val="18"/>
          <w:lang w:eastAsia="zh-CN"/>
        </w:rPr>
        <w:t>（</w:t>
      </w:r>
      <w:r>
        <w:rPr>
          <w:bCs/>
          <w:sz w:val="20"/>
          <w:szCs w:val="20"/>
          <w:lang w:eastAsia="zh-CN"/>
        </w:rPr>
        <w:t>宋体，小五，居中</w:t>
      </w:r>
      <w:r>
        <w:rPr>
          <w:sz w:val="18"/>
          <w:szCs w:val="18"/>
          <w:lang w:eastAsia="zh-CN"/>
        </w:rPr>
        <w:t>）</w:t>
      </w:r>
    </w:p>
    <w:p w14:paraId="27F50490">
      <w:pPr>
        <w:adjustRightInd w:val="0"/>
        <w:snapToGrid w:val="0"/>
        <w:spacing w:line="288" w:lineRule="auto"/>
        <w:jc w:val="center"/>
        <w:rPr>
          <w:rFonts w:eastAsia="黑体"/>
          <w:snapToGrid w:val="0"/>
          <w:color w:val="000000"/>
          <w:kern w:val="2"/>
          <w:sz w:val="18"/>
          <w:szCs w:val="18"/>
          <w:lang w:eastAsia="zh-CN"/>
        </w:rPr>
      </w:pPr>
      <w:r>
        <w:rPr>
          <w:sz w:val="21"/>
          <w:szCs w:val="21"/>
          <w:lang w:eastAsia="zh-CN"/>
        </w:rPr>
        <w:t>（空一行）</w:t>
      </w:r>
    </w:p>
    <w:p w14:paraId="7DBCC47A">
      <w:pPr>
        <w:adjustRightInd w:val="0"/>
        <w:snapToGrid w:val="0"/>
        <w:spacing w:line="288" w:lineRule="auto"/>
        <w:ind w:left="480" w:leftChars="200" w:right="480" w:rightChars="200"/>
        <w:jc w:val="both"/>
        <w:rPr>
          <w:snapToGrid w:val="0"/>
          <w:color w:val="000000"/>
          <w:kern w:val="2"/>
          <w:sz w:val="18"/>
          <w:szCs w:val="18"/>
          <w:lang w:eastAsia="zh-CN"/>
        </w:rPr>
      </w:pPr>
      <w:r>
        <w:rPr>
          <w:rFonts w:eastAsia="黑体"/>
          <w:snapToGrid w:val="0"/>
          <w:color w:val="000000"/>
          <w:kern w:val="2"/>
          <w:sz w:val="18"/>
          <w:szCs w:val="18"/>
          <w:lang w:eastAsia="zh-CN"/>
        </w:rPr>
        <w:t>摘  要（黑体，小五）：</w:t>
      </w:r>
      <w:r>
        <w:rPr>
          <w:snapToGrid w:val="0"/>
          <w:color w:val="000000"/>
          <w:kern w:val="2"/>
          <w:sz w:val="18"/>
          <w:szCs w:val="18"/>
          <w:lang w:eastAsia="zh-CN"/>
        </w:rPr>
        <w:t>中文摘要的编写应执行GB6447-86规定，</w:t>
      </w:r>
      <w:r>
        <w:rPr>
          <w:rFonts w:hint="eastAsia"/>
          <w:snapToGrid w:val="0"/>
          <w:color w:val="000000"/>
          <w:kern w:val="2"/>
          <w:sz w:val="18"/>
          <w:szCs w:val="18"/>
          <w:lang w:eastAsia="zh-CN"/>
        </w:rPr>
        <w:t>综述论文摘要结构为：[目的/意义] [进展] [结论/展望]；研究论文摘要结构为：[目的/意义] [方法] [结果和讨论] [结论]</w:t>
      </w:r>
      <w:r>
        <w:rPr>
          <w:snapToGrid w:val="0"/>
          <w:kern w:val="2"/>
          <w:sz w:val="18"/>
          <w:szCs w:val="18"/>
          <w:lang w:eastAsia="zh-CN"/>
        </w:rPr>
        <w:t>。一般</w:t>
      </w:r>
      <w:r>
        <w:rPr>
          <w:rFonts w:hint="eastAsia"/>
          <w:snapToGrid w:val="0"/>
          <w:kern w:val="2"/>
          <w:sz w:val="18"/>
          <w:szCs w:val="18"/>
          <w:lang w:eastAsia="zh-CN"/>
        </w:rPr>
        <w:t>400—500字</w:t>
      </w:r>
      <w:r>
        <w:rPr>
          <w:snapToGrid w:val="0"/>
          <w:kern w:val="2"/>
          <w:sz w:val="18"/>
          <w:szCs w:val="18"/>
          <w:lang w:eastAsia="zh-CN"/>
        </w:rPr>
        <w:t>为宜。摘要中应排除本学科领域已成为常识的内</w:t>
      </w:r>
      <w:r>
        <w:rPr>
          <w:snapToGrid w:val="0"/>
          <w:color w:val="000000"/>
          <w:kern w:val="2"/>
          <w:sz w:val="18"/>
          <w:szCs w:val="18"/>
          <w:lang w:eastAsia="zh-CN"/>
        </w:rPr>
        <w:t>容；应具有独立性和自明性，不应出现图、表、数学公式、化学结构式和非公知公用的符号、术语；应用第三人称，不必使用</w:t>
      </w:r>
      <w:r>
        <w:rPr>
          <w:rFonts w:hint="eastAsia"/>
          <w:snapToGrid w:val="0"/>
          <w:color w:val="000000"/>
          <w:kern w:val="2"/>
          <w:sz w:val="18"/>
          <w:szCs w:val="18"/>
          <w:lang w:eastAsia="zh-CN"/>
        </w:rPr>
        <w:t>“作者”“我们”“笔者”等字</w:t>
      </w:r>
      <w:r>
        <w:rPr>
          <w:snapToGrid w:val="0"/>
          <w:color w:val="000000"/>
          <w:kern w:val="2"/>
          <w:sz w:val="18"/>
          <w:szCs w:val="18"/>
          <w:lang w:eastAsia="zh-CN"/>
        </w:rPr>
        <w:t>样作为主语；缩略语代号，首次出现时必须加以说明。摘要内容不应超出正文范围。（宋体，小五，两端对齐。）</w:t>
      </w:r>
    </w:p>
    <w:p w14:paraId="4DCA770D">
      <w:pPr>
        <w:adjustRightInd w:val="0"/>
        <w:snapToGrid w:val="0"/>
        <w:spacing w:line="288" w:lineRule="auto"/>
        <w:ind w:left="480" w:leftChars="200" w:right="480" w:rightChars="200"/>
        <w:jc w:val="both"/>
        <w:rPr>
          <w:rFonts w:eastAsia="楷体"/>
          <w:color w:val="000000"/>
          <w:sz w:val="18"/>
          <w:szCs w:val="18"/>
          <w:lang w:eastAsia="zh-CN"/>
        </w:rPr>
      </w:pPr>
      <w:r>
        <w:rPr>
          <w:rFonts w:eastAsia="黑体"/>
          <w:color w:val="000000"/>
          <w:sz w:val="18"/>
          <w:szCs w:val="18"/>
          <w:lang w:eastAsia="zh-CN"/>
        </w:rPr>
        <w:t>关键词（</w:t>
      </w:r>
      <w:r>
        <w:rPr>
          <w:rFonts w:eastAsia="黑体"/>
          <w:snapToGrid w:val="0"/>
          <w:color w:val="000000"/>
          <w:kern w:val="2"/>
          <w:sz w:val="18"/>
          <w:szCs w:val="18"/>
          <w:lang w:eastAsia="zh-CN"/>
        </w:rPr>
        <w:t>黑体，小五</w:t>
      </w:r>
      <w:r>
        <w:rPr>
          <w:rFonts w:eastAsia="黑体"/>
          <w:color w:val="000000"/>
          <w:sz w:val="18"/>
          <w:szCs w:val="18"/>
          <w:lang w:eastAsia="zh-CN"/>
        </w:rPr>
        <w:t>）：</w:t>
      </w:r>
      <w:r>
        <w:rPr>
          <w:rFonts w:eastAsia="楷体"/>
          <w:color w:val="000000"/>
          <w:sz w:val="18"/>
          <w:szCs w:val="18"/>
          <w:lang w:eastAsia="zh-CN"/>
        </w:rPr>
        <w:t>楷体；小五；5-8个关键词；分号相隔；规范</w:t>
      </w:r>
    </w:p>
    <w:p w14:paraId="6B461BF1">
      <w:pPr>
        <w:pStyle w:val="8"/>
        <w:spacing w:line="288" w:lineRule="auto"/>
        <w:ind w:left="480" w:leftChars="200" w:right="480" w:rightChars="200"/>
        <w:rPr>
          <w:rFonts w:eastAsia="黑体"/>
          <w:bCs/>
          <w:color w:val="000000"/>
          <w:sz w:val="18"/>
          <w:szCs w:val="18"/>
          <w:lang w:eastAsia="zh-CN"/>
        </w:rPr>
      </w:pPr>
      <w:r>
        <w:rPr>
          <w:rFonts w:eastAsia="黑体"/>
          <w:bCs/>
          <w:color w:val="000000"/>
          <w:sz w:val="18"/>
          <w:szCs w:val="18"/>
          <w:lang w:eastAsia="zh-CN"/>
        </w:rPr>
        <w:t>中图分类号：             文献</w:t>
      </w:r>
      <w:r>
        <w:rPr>
          <w:rFonts w:hint="eastAsia" w:eastAsia="黑体"/>
          <w:bCs/>
          <w:color w:val="000000"/>
          <w:sz w:val="18"/>
          <w:szCs w:val="18"/>
          <w:lang w:val="en-US" w:eastAsia="zh-CN"/>
        </w:rPr>
        <w:t>标识</w:t>
      </w:r>
      <w:r>
        <w:rPr>
          <w:rFonts w:eastAsia="黑体"/>
          <w:bCs/>
          <w:color w:val="000000"/>
          <w:sz w:val="18"/>
          <w:szCs w:val="18"/>
          <w:lang w:eastAsia="zh-CN"/>
        </w:rPr>
        <w:t>码：              文章编号：（黑体，小五）</w:t>
      </w:r>
    </w:p>
    <w:p w14:paraId="7BAACDCE">
      <w:pPr>
        <w:adjustRightInd w:val="0"/>
        <w:snapToGrid w:val="0"/>
        <w:spacing w:line="288" w:lineRule="auto"/>
        <w:rPr>
          <w:sz w:val="21"/>
          <w:szCs w:val="21"/>
        </w:rPr>
      </w:pPr>
      <w:r>
        <w:rPr>
          <w:sz w:val="21"/>
          <w:szCs w:val="21"/>
          <w:lang w:eastAsia="zh-CN"/>
        </w:rPr>
        <w:t>（空一行）</w:t>
      </w:r>
    </w:p>
    <w:p w14:paraId="62A64F58">
      <w:pPr>
        <w:autoSpaceDE w:val="0"/>
        <w:autoSpaceDN w:val="0"/>
        <w:adjustRightInd w:val="0"/>
        <w:snapToGrid w:val="0"/>
        <w:spacing w:line="288" w:lineRule="auto"/>
        <w:jc w:val="center"/>
        <w:rPr>
          <w:b/>
          <w:color w:val="000000"/>
          <w:sz w:val="36"/>
          <w:szCs w:val="36"/>
          <w:lang w:eastAsia="zh-CN"/>
        </w:rPr>
      </w:pPr>
      <w:r>
        <w:rPr>
          <w:b/>
          <w:color w:val="000000"/>
          <w:sz w:val="36"/>
          <w:szCs w:val="36"/>
          <w:lang w:eastAsia="zh-CN"/>
        </w:rPr>
        <w:t>Paper Title</w:t>
      </w:r>
      <w:r>
        <w:rPr>
          <w:color w:val="000000"/>
          <w:sz w:val="18"/>
          <w:szCs w:val="18"/>
          <w:lang w:eastAsia="zh-CN"/>
        </w:rPr>
        <w:t>（</w:t>
      </w:r>
      <w:r>
        <w:rPr>
          <w:bCs/>
          <w:sz w:val="18"/>
          <w:szCs w:val="18"/>
          <w:lang w:eastAsia="zh-CN"/>
        </w:rPr>
        <w:t>Times new Roman，小二，居中</w:t>
      </w:r>
      <w:r>
        <w:rPr>
          <w:color w:val="000000"/>
          <w:sz w:val="18"/>
          <w:szCs w:val="18"/>
          <w:lang w:eastAsia="zh-CN"/>
        </w:rPr>
        <w:t>）</w:t>
      </w:r>
    </w:p>
    <w:p w14:paraId="213ED862">
      <w:pPr>
        <w:autoSpaceDE w:val="0"/>
        <w:autoSpaceDN w:val="0"/>
        <w:adjustRightInd w:val="0"/>
        <w:snapToGrid w:val="0"/>
        <w:spacing w:line="288" w:lineRule="auto"/>
        <w:jc w:val="center"/>
        <w:rPr>
          <w:color w:val="000000"/>
          <w:sz w:val="21"/>
          <w:szCs w:val="21"/>
          <w:lang w:eastAsia="zh-CN"/>
        </w:rPr>
      </w:pPr>
      <w:r>
        <w:rPr>
          <w:color w:val="000000"/>
          <w:sz w:val="21"/>
          <w:szCs w:val="21"/>
          <w:lang w:eastAsia="zh-CN"/>
        </w:rPr>
        <w:t>（空一行）</w:t>
      </w:r>
    </w:p>
    <w:p w14:paraId="02FFF348">
      <w:pPr>
        <w:autoSpaceDE w:val="0"/>
        <w:autoSpaceDN w:val="0"/>
        <w:adjustRightInd w:val="0"/>
        <w:snapToGrid w:val="0"/>
        <w:spacing w:line="288" w:lineRule="auto"/>
        <w:jc w:val="center"/>
        <w:rPr>
          <w:szCs w:val="18"/>
        </w:rPr>
      </w:pPr>
      <w:r>
        <w:rPr>
          <w:lang w:eastAsia="zh-CN"/>
        </w:rPr>
        <w:t>ZUO Zheming</w:t>
      </w:r>
      <w:r>
        <w:rPr>
          <w:vertAlign w:val="superscript"/>
        </w:rPr>
        <w:t>1</w:t>
      </w:r>
      <w:r>
        <w:t xml:space="preserve">, </w:t>
      </w:r>
      <w:r>
        <w:rPr>
          <w:lang w:eastAsia="zh-CN"/>
        </w:rPr>
        <w:t xml:space="preserve">ZHANG Shan </w:t>
      </w:r>
      <w:r>
        <w:rPr>
          <w:vertAlign w:val="superscript"/>
        </w:rPr>
        <w:t>1,2</w:t>
      </w:r>
      <w:r>
        <w:t>,</w:t>
      </w:r>
      <w:r>
        <w:rPr>
          <w:lang w:eastAsia="zh-CN"/>
        </w:rPr>
        <w:t xml:space="preserve"> Given Name SURNAME</w:t>
      </w:r>
      <w:r>
        <w:rPr>
          <w:rFonts w:eastAsia="仿宋"/>
          <w:color w:val="000000"/>
          <w:sz w:val="28"/>
          <w:szCs w:val="28"/>
          <w:vertAlign w:val="superscript"/>
          <w:lang w:eastAsia="zh-CN"/>
        </w:rPr>
        <w:t>3*</w:t>
      </w:r>
      <w:r>
        <w:rPr>
          <w:color w:val="000000"/>
          <w:sz w:val="18"/>
          <w:szCs w:val="18"/>
          <w:lang w:eastAsia="zh-CN"/>
        </w:rPr>
        <w:t>（</w:t>
      </w:r>
      <w:r>
        <w:rPr>
          <w:bCs/>
          <w:sz w:val="18"/>
          <w:szCs w:val="18"/>
          <w:lang w:eastAsia="zh-CN"/>
        </w:rPr>
        <w:t>Times new Roman，小四，居中</w:t>
      </w:r>
      <w:r>
        <w:rPr>
          <w:color w:val="000000"/>
          <w:sz w:val="18"/>
          <w:szCs w:val="18"/>
          <w:lang w:eastAsia="zh-CN"/>
        </w:rPr>
        <w:t>）</w:t>
      </w:r>
    </w:p>
    <w:p w14:paraId="3024D62B">
      <w:pPr>
        <w:autoSpaceDE w:val="0"/>
        <w:autoSpaceDN w:val="0"/>
        <w:adjustRightInd w:val="0"/>
        <w:snapToGrid w:val="0"/>
        <w:spacing w:line="288" w:lineRule="auto"/>
        <w:jc w:val="center"/>
        <w:rPr>
          <w:color w:val="000000"/>
          <w:sz w:val="18"/>
          <w:szCs w:val="18"/>
          <w:lang w:eastAsia="zh-CN"/>
        </w:rPr>
      </w:pPr>
      <w:r>
        <w:rPr>
          <w:color w:val="000000"/>
          <w:sz w:val="18"/>
          <w:szCs w:val="18"/>
        </w:rPr>
        <w:t xml:space="preserve">(1. </w:t>
      </w:r>
      <w:r>
        <w:rPr>
          <w:i/>
          <w:color w:val="000000"/>
          <w:sz w:val="18"/>
          <w:szCs w:val="18"/>
          <w:lang w:eastAsia="zh-CN"/>
        </w:rPr>
        <w:t>D</w:t>
      </w:r>
      <w:r>
        <w:rPr>
          <w:i/>
          <w:color w:val="000000"/>
          <w:sz w:val="18"/>
          <w:szCs w:val="18"/>
        </w:rPr>
        <w:t>ep</w:t>
      </w:r>
      <w:r>
        <w:rPr>
          <w:rFonts w:hint="eastAsia"/>
          <w:i/>
          <w:color w:val="000000"/>
          <w:sz w:val="18"/>
          <w:szCs w:val="18"/>
          <w:lang w:eastAsia="zh-CN"/>
        </w:rPr>
        <w:t>artm</w:t>
      </w:r>
      <w:r>
        <w:rPr>
          <w:i/>
          <w:color w:val="000000"/>
          <w:sz w:val="18"/>
          <w:szCs w:val="18"/>
          <w:lang w:eastAsia="zh-CN"/>
        </w:rPr>
        <w:t>e</w:t>
      </w:r>
      <w:r>
        <w:rPr>
          <w:rFonts w:hint="eastAsia"/>
          <w:i/>
          <w:color w:val="000000"/>
          <w:sz w:val="18"/>
          <w:szCs w:val="18"/>
          <w:lang w:eastAsia="zh-CN"/>
        </w:rPr>
        <w:t>nt</w:t>
      </w:r>
      <w:r>
        <w:rPr>
          <w:i/>
          <w:color w:val="000000"/>
          <w:sz w:val="18"/>
          <w:szCs w:val="18"/>
        </w:rPr>
        <w:t xml:space="preserve"> name of organization</w:t>
      </w:r>
      <w:r>
        <w:rPr>
          <w:iCs/>
          <w:color w:val="000000"/>
          <w:sz w:val="18"/>
          <w:szCs w:val="18"/>
        </w:rPr>
        <w:t>,</w:t>
      </w:r>
      <w:r>
        <w:rPr>
          <w:i/>
          <w:color w:val="000000"/>
          <w:sz w:val="18"/>
          <w:szCs w:val="18"/>
        </w:rPr>
        <w:t xml:space="preserve"> </w:t>
      </w:r>
      <w:r>
        <w:rPr>
          <w:i/>
          <w:color w:val="000000"/>
          <w:sz w:val="18"/>
          <w:szCs w:val="18"/>
          <w:lang w:eastAsia="zh-CN"/>
        </w:rPr>
        <w:t>N</w:t>
      </w:r>
      <w:r>
        <w:rPr>
          <w:i/>
          <w:color w:val="000000"/>
          <w:sz w:val="18"/>
          <w:szCs w:val="18"/>
        </w:rPr>
        <w:t>ame of organization</w:t>
      </w:r>
      <w:r>
        <w:rPr>
          <w:iCs/>
          <w:color w:val="000000"/>
          <w:sz w:val="18"/>
          <w:szCs w:val="18"/>
        </w:rPr>
        <w:t>,</w:t>
      </w:r>
      <w:r>
        <w:rPr>
          <w:i/>
          <w:color w:val="000000"/>
          <w:sz w:val="18"/>
          <w:szCs w:val="18"/>
        </w:rPr>
        <w:t xml:space="preserve"> City</w:t>
      </w:r>
      <w:r>
        <w:rPr>
          <w:iCs/>
          <w:color w:val="000000"/>
          <w:sz w:val="18"/>
          <w:szCs w:val="18"/>
        </w:rPr>
        <w:t>,</w:t>
      </w:r>
      <w:r>
        <w:rPr>
          <w:i/>
          <w:color w:val="000000"/>
          <w:sz w:val="18"/>
          <w:szCs w:val="18"/>
        </w:rPr>
        <w:t xml:space="preserve"> </w:t>
      </w:r>
      <w:r>
        <w:rPr>
          <w:color w:val="000000"/>
          <w:sz w:val="18"/>
          <w:szCs w:val="18"/>
        </w:rPr>
        <w:t>Postal cod</w:t>
      </w:r>
      <w:r>
        <w:rPr>
          <w:sz w:val="18"/>
          <w:szCs w:val="18"/>
        </w:rPr>
        <w:t>e</w:t>
      </w:r>
      <w:r>
        <w:rPr>
          <w:i/>
          <w:color w:val="000000"/>
          <w:sz w:val="18"/>
          <w:szCs w:val="18"/>
        </w:rPr>
        <w:t>, Country</w:t>
      </w:r>
      <w:r>
        <w:rPr>
          <w:color w:val="000000"/>
          <w:sz w:val="18"/>
          <w:szCs w:val="18"/>
        </w:rPr>
        <w:t>; 2.</w:t>
      </w:r>
      <w:r>
        <w:rPr>
          <w:i/>
          <w:color w:val="000000"/>
          <w:sz w:val="18"/>
          <w:szCs w:val="18"/>
          <w:lang w:eastAsia="zh-CN"/>
        </w:rPr>
        <w:t xml:space="preserve"> D</w:t>
      </w:r>
      <w:r>
        <w:rPr>
          <w:i/>
          <w:color w:val="000000"/>
          <w:sz w:val="18"/>
          <w:szCs w:val="18"/>
        </w:rPr>
        <w:t>epartment name of organization</w:t>
      </w:r>
      <w:r>
        <w:rPr>
          <w:iCs/>
          <w:color w:val="000000"/>
          <w:sz w:val="18"/>
          <w:szCs w:val="18"/>
        </w:rPr>
        <w:t>,</w:t>
      </w:r>
      <w:r>
        <w:rPr>
          <w:i/>
          <w:color w:val="000000"/>
          <w:sz w:val="18"/>
          <w:szCs w:val="18"/>
        </w:rPr>
        <w:t xml:space="preserve"> </w:t>
      </w:r>
      <w:r>
        <w:rPr>
          <w:i/>
          <w:color w:val="000000"/>
          <w:sz w:val="18"/>
          <w:szCs w:val="18"/>
          <w:lang w:eastAsia="zh-CN"/>
        </w:rPr>
        <w:t>N</w:t>
      </w:r>
      <w:r>
        <w:rPr>
          <w:i/>
          <w:color w:val="000000"/>
          <w:sz w:val="18"/>
          <w:szCs w:val="18"/>
        </w:rPr>
        <w:t>ame of organization</w:t>
      </w:r>
      <w:r>
        <w:rPr>
          <w:iCs/>
          <w:color w:val="000000"/>
          <w:sz w:val="18"/>
          <w:szCs w:val="18"/>
        </w:rPr>
        <w:t>,</w:t>
      </w:r>
      <w:r>
        <w:rPr>
          <w:i/>
          <w:color w:val="000000"/>
          <w:sz w:val="18"/>
          <w:szCs w:val="18"/>
        </w:rPr>
        <w:t xml:space="preserve"> City </w:t>
      </w:r>
      <w:r>
        <w:rPr>
          <w:color w:val="000000"/>
          <w:sz w:val="18"/>
          <w:szCs w:val="18"/>
        </w:rPr>
        <w:t>Postal cod</w:t>
      </w:r>
      <w:r>
        <w:rPr>
          <w:sz w:val="18"/>
          <w:szCs w:val="18"/>
        </w:rPr>
        <w:t>e</w:t>
      </w:r>
      <w:r>
        <w:rPr>
          <w:iCs/>
          <w:color w:val="000000"/>
          <w:sz w:val="18"/>
          <w:szCs w:val="18"/>
        </w:rPr>
        <w:t>,</w:t>
      </w:r>
      <w:r>
        <w:rPr>
          <w:i/>
          <w:color w:val="000000"/>
          <w:sz w:val="18"/>
          <w:szCs w:val="18"/>
        </w:rPr>
        <w:t xml:space="preserve"> Country</w:t>
      </w:r>
      <w:r>
        <w:rPr>
          <w:color w:val="000000"/>
          <w:sz w:val="18"/>
          <w:szCs w:val="18"/>
        </w:rPr>
        <w:t xml:space="preserve">; 3. </w:t>
      </w:r>
      <w:r>
        <w:rPr>
          <w:i/>
          <w:color w:val="000000"/>
          <w:sz w:val="18"/>
          <w:szCs w:val="18"/>
        </w:rPr>
        <w:t>College of Engineering</w:t>
      </w:r>
      <w:r>
        <w:rPr>
          <w:iCs/>
          <w:color w:val="000000"/>
          <w:sz w:val="18"/>
          <w:szCs w:val="18"/>
        </w:rPr>
        <w:t>,</w:t>
      </w:r>
      <w:r>
        <w:rPr>
          <w:i/>
          <w:color w:val="000000"/>
          <w:sz w:val="18"/>
          <w:szCs w:val="18"/>
        </w:rPr>
        <w:t xml:space="preserve"> Michigan State University</w:t>
      </w:r>
      <w:r>
        <w:rPr>
          <w:iCs/>
          <w:color w:val="000000"/>
          <w:sz w:val="18"/>
          <w:szCs w:val="18"/>
        </w:rPr>
        <w:t>,</w:t>
      </w:r>
      <w:r>
        <w:rPr>
          <w:i/>
          <w:color w:val="000000"/>
          <w:sz w:val="18"/>
          <w:szCs w:val="18"/>
        </w:rPr>
        <w:t xml:space="preserve"> East Lansing</w:t>
      </w:r>
      <w:r>
        <w:rPr>
          <w:iCs/>
          <w:color w:val="000000"/>
          <w:sz w:val="18"/>
          <w:szCs w:val="18"/>
        </w:rPr>
        <w:t>,</w:t>
      </w:r>
      <w:r>
        <w:rPr>
          <w:i/>
          <w:color w:val="000000"/>
          <w:sz w:val="18"/>
          <w:szCs w:val="18"/>
        </w:rPr>
        <w:t xml:space="preserve"> </w:t>
      </w:r>
      <w:r>
        <w:rPr>
          <w:color w:val="000000"/>
          <w:sz w:val="18"/>
          <w:szCs w:val="18"/>
        </w:rPr>
        <w:t>48824</w:t>
      </w:r>
      <w:r>
        <w:rPr>
          <w:i/>
          <w:color w:val="000000"/>
          <w:sz w:val="18"/>
          <w:szCs w:val="18"/>
        </w:rPr>
        <w:t>, United States</w:t>
      </w:r>
      <w:r>
        <w:rPr>
          <w:color w:val="000000"/>
          <w:sz w:val="18"/>
          <w:szCs w:val="18"/>
        </w:rPr>
        <w:t>)</w:t>
      </w:r>
      <w:r>
        <w:rPr>
          <w:color w:val="000000"/>
          <w:sz w:val="18"/>
          <w:szCs w:val="18"/>
          <w:lang w:eastAsia="zh-CN"/>
        </w:rPr>
        <w:t>（</w:t>
      </w:r>
      <w:r>
        <w:rPr>
          <w:bCs/>
          <w:sz w:val="18"/>
          <w:szCs w:val="18"/>
          <w:lang w:eastAsia="zh-CN"/>
        </w:rPr>
        <w:t>Times new Roman，斜体，小五，居中，数字、邮编非斜体</w:t>
      </w:r>
      <w:r>
        <w:rPr>
          <w:color w:val="000000"/>
          <w:sz w:val="18"/>
          <w:szCs w:val="18"/>
          <w:lang w:eastAsia="zh-CN"/>
        </w:rPr>
        <w:t>）</w:t>
      </w:r>
    </w:p>
    <w:p w14:paraId="1038EE44">
      <w:pPr>
        <w:autoSpaceDE w:val="0"/>
        <w:autoSpaceDN w:val="0"/>
        <w:adjustRightInd w:val="0"/>
        <w:snapToGrid w:val="0"/>
        <w:spacing w:line="288" w:lineRule="auto"/>
        <w:jc w:val="center"/>
        <w:rPr>
          <w:color w:val="000000"/>
          <w:sz w:val="18"/>
          <w:szCs w:val="18"/>
          <w:lang w:eastAsia="zh-CN"/>
        </w:rPr>
      </w:pPr>
      <w:r>
        <w:rPr>
          <w:sz w:val="21"/>
          <w:szCs w:val="21"/>
          <w:lang w:eastAsia="zh-CN"/>
        </w:rPr>
        <w:t>（空一行）</w:t>
      </w:r>
    </w:p>
    <w:p w14:paraId="73196B7C">
      <w:pPr>
        <w:pStyle w:val="17"/>
        <w:spacing w:before="0" w:beforeAutospacing="0" w:after="0" w:afterAutospacing="0" w:line="288" w:lineRule="auto"/>
        <w:jc w:val="both"/>
        <w:rPr>
          <w:rFonts w:ascii="Times New Roman" w:hAnsi="Times New Roman" w:cs="Times New Roman"/>
          <w:sz w:val="18"/>
          <w:szCs w:val="18"/>
        </w:rPr>
      </w:pPr>
      <w:r>
        <w:rPr>
          <w:rFonts w:ascii="Times New Roman" w:hAnsi="Times New Roman" w:cs="Times New Roman"/>
          <w:b/>
          <w:color w:val="000000"/>
          <w:sz w:val="18"/>
          <w:szCs w:val="18"/>
        </w:rPr>
        <w:t>Abstract</w:t>
      </w:r>
      <w:r>
        <w:rPr>
          <w:rFonts w:ascii="Times New Roman" w:hAnsi="Times New Roman" w:cs="Times New Roman"/>
          <w:color w:val="000000"/>
          <w:sz w:val="18"/>
          <w:szCs w:val="18"/>
          <w:lang w:eastAsia="zh-CN"/>
        </w:rPr>
        <w:t>（</w:t>
      </w:r>
      <w:r>
        <w:rPr>
          <w:rFonts w:ascii="Times New Roman" w:hAnsi="Times New Roman" w:eastAsia="宋体" w:cs="Times New Roman"/>
          <w:bCs/>
          <w:sz w:val="18"/>
          <w:szCs w:val="18"/>
          <w:lang w:eastAsia="zh-CN"/>
        </w:rPr>
        <w:t>Times new Roman，小五，加粗</w:t>
      </w:r>
      <w:r>
        <w:rPr>
          <w:rFonts w:ascii="Times New Roman" w:hAnsi="Times New Roman" w:cs="Times New Roman"/>
          <w:color w:val="000000"/>
          <w:sz w:val="18"/>
          <w:szCs w:val="18"/>
          <w:lang w:eastAsia="zh-CN"/>
        </w:rPr>
        <w:t>）</w:t>
      </w:r>
      <w:r>
        <w:rPr>
          <w:rFonts w:ascii="Times New Roman" w:hAnsi="Times New Roman" w:cs="Times New Roman"/>
          <w:b/>
          <w:color w:val="000000"/>
          <w:sz w:val="18"/>
          <w:szCs w:val="18"/>
        </w:rPr>
        <w:t>:</w:t>
      </w:r>
      <w:r>
        <w:rPr>
          <w:rFonts w:ascii="Times New Roman" w:hAnsi="Times New Roman" w:cs="Times New Roman"/>
          <w:color w:val="000000"/>
          <w:sz w:val="18"/>
          <w:szCs w:val="18"/>
        </w:rPr>
        <w:t xml:space="preserve"> </w:t>
      </w:r>
      <w:r>
        <w:rPr>
          <w:rFonts w:hint="eastAsia" w:ascii="Times New Roman" w:hAnsi="Times New Roman" w:cs="Times New Roman"/>
          <w:sz w:val="18"/>
          <w:szCs w:val="18"/>
        </w:rPr>
        <w:t>The English abstract requires 800-1000 words. In the review papers, the template of the English abstract is: [ Significance ][ Progress ][ Conclusions and Prospects ];  In the research papers, the template of the English abstract is: [ Objective ][ Method</w:t>
      </w:r>
      <w:r>
        <w:rPr>
          <w:rFonts w:hint="eastAsia" w:ascii="Times New Roman" w:hAnsi="Times New Roman" w:cs="Times New Roman"/>
          <w:sz w:val="18"/>
          <w:szCs w:val="18"/>
          <w:lang w:eastAsia="zh-CN"/>
        </w:rPr>
        <w:t>s</w:t>
      </w:r>
      <w:r>
        <w:rPr>
          <w:rFonts w:hint="eastAsia" w:ascii="Times New Roman" w:hAnsi="Times New Roman" w:cs="Times New Roman"/>
          <w:sz w:val="18"/>
          <w:szCs w:val="18"/>
        </w:rPr>
        <w:t xml:space="preserve"> ][ Results and Discussions ][ Conclusions ]. Do not use symbols, special characters, footnotes, or math in Abstract.  Abstract should introduce the main contents of the manuscript. The Chinese and English abstracts do not need strictly one-to-one correspondence. The passive voice is recommended while the active voice can also be accepted.</w:t>
      </w:r>
      <w:r>
        <w:rPr>
          <w:rFonts w:ascii="Times New Roman" w:hAnsi="Times New Roman" w:eastAsia="宋体" w:cs="Times New Roman"/>
          <w:sz w:val="18"/>
          <w:szCs w:val="18"/>
          <w:lang w:eastAsia="zh-CN"/>
        </w:rPr>
        <w:t>（</w:t>
      </w:r>
      <w:r>
        <w:rPr>
          <w:rFonts w:ascii="Times New Roman" w:hAnsi="Times New Roman" w:eastAsia="宋体" w:cs="Times New Roman"/>
          <w:sz w:val="18"/>
          <w:szCs w:val="18"/>
        </w:rPr>
        <w:t>Times New Roman</w:t>
      </w:r>
      <w:r>
        <w:rPr>
          <w:rFonts w:ascii="Times New Roman" w:hAnsi="Times New Roman" w:eastAsia="宋体" w:cs="Times New Roman"/>
          <w:sz w:val="18"/>
          <w:szCs w:val="18"/>
          <w:lang w:eastAsia="zh-CN"/>
        </w:rPr>
        <w:t>，小五）</w:t>
      </w:r>
    </w:p>
    <w:p w14:paraId="313D6A82">
      <w:pPr>
        <w:autoSpaceDE w:val="0"/>
        <w:autoSpaceDN w:val="0"/>
        <w:adjustRightInd w:val="0"/>
        <w:snapToGrid w:val="0"/>
        <w:spacing w:line="288" w:lineRule="auto"/>
        <w:jc w:val="both"/>
        <w:rPr>
          <w:color w:val="000000"/>
          <w:sz w:val="18"/>
          <w:szCs w:val="18"/>
          <w:lang w:eastAsia="zh-CN"/>
        </w:rPr>
      </w:pPr>
      <w:r>
        <w:rPr>
          <w:b/>
          <w:color w:val="000000"/>
          <w:sz w:val="18"/>
          <w:szCs w:val="18"/>
        </w:rPr>
        <w:t>Key words</w:t>
      </w:r>
      <w:r>
        <w:rPr>
          <w:color w:val="000000"/>
          <w:sz w:val="18"/>
          <w:szCs w:val="18"/>
          <w:lang w:eastAsia="zh-CN"/>
        </w:rPr>
        <w:t>（</w:t>
      </w:r>
      <w:r>
        <w:rPr>
          <w:bCs/>
          <w:sz w:val="18"/>
          <w:szCs w:val="18"/>
          <w:lang w:eastAsia="zh-CN"/>
        </w:rPr>
        <w:t>Times new Roman，小五，加粗</w:t>
      </w:r>
      <w:r>
        <w:rPr>
          <w:color w:val="000000"/>
          <w:sz w:val="18"/>
          <w:szCs w:val="18"/>
          <w:lang w:eastAsia="zh-CN"/>
        </w:rPr>
        <w:t>）</w:t>
      </w:r>
      <w:r>
        <w:rPr>
          <w:b/>
          <w:color w:val="000000"/>
          <w:sz w:val="18"/>
          <w:szCs w:val="18"/>
        </w:rPr>
        <w:t>:</w:t>
      </w:r>
      <w:r>
        <w:rPr>
          <w:sz w:val="18"/>
          <w:szCs w:val="18"/>
        </w:rPr>
        <w:t xml:space="preserve"> Times New Roman</w:t>
      </w:r>
      <w:r>
        <w:rPr>
          <w:color w:val="000000"/>
          <w:sz w:val="18"/>
          <w:szCs w:val="18"/>
        </w:rPr>
        <w:t>; five to eight words; separated by a semicolon</w:t>
      </w:r>
    </w:p>
    <w:p w14:paraId="1C2BDDD0">
      <w:pPr>
        <w:autoSpaceDE w:val="0"/>
        <w:autoSpaceDN w:val="0"/>
        <w:adjustRightInd w:val="0"/>
        <w:snapToGrid w:val="0"/>
        <w:spacing w:line="288" w:lineRule="auto"/>
        <w:jc w:val="both"/>
        <w:rPr>
          <w:color w:val="000000"/>
          <w:sz w:val="18"/>
          <w:szCs w:val="18"/>
          <w:lang w:eastAsia="zh-CN"/>
        </w:rPr>
      </w:pPr>
      <w:r>
        <w:rPr>
          <w:b/>
          <w:color w:val="000000"/>
          <w:sz w:val="18"/>
          <w:szCs w:val="18"/>
        </w:rPr>
        <w:t>Foundation items:</w:t>
      </w:r>
      <w:r>
        <w:rPr>
          <w:rFonts w:hint="eastAsia"/>
          <w:b/>
          <w:color w:val="000000"/>
          <w:sz w:val="18"/>
          <w:szCs w:val="18"/>
          <w:lang w:eastAsia="zh-CN"/>
        </w:rPr>
        <w:t xml:space="preserve"> </w:t>
      </w:r>
      <w:r>
        <w:rPr>
          <w:color w:val="000000"/>
          <w:sz w:val="18"/>
          <w:szCs w:val="18"/>
          <w:lang w:eastAsia="zh-CN"/>
        </w:rPr>
        <w:t>（</w:t>
      </w:r>
      <w:r>
        <w:rPr>
          <w:bCs/>
          <w:sz w:val="18"/>
          <w:szCs w:val="18"/>
          <w:lang w:eastAsia="zh-CN"/>
        </w:rPr>
        <w:t>Times new Roman，小五，加粗，</w:t>
      </w:r>
      <w:r>
        <w:rPr>
          <w:rFonts w:hint="eastAsia"/>
          <w:bCs/>
          <w:sz w:val="18"/>
          <w:szCs w:val="18"/>
          <w:lang w:eastAsia="zh-CN"/>
        </w:rPr>
        <w:t>与中文基金项目对应</w:t>
      </w:r>
      <w:r>
        <w:rPr>
          <w:color w:val="000000"/>
          <w:sz w:val="18"/>
          <w:szCs w:val="18"/>
          <w:lang w:eastAsia="zh-CN"/>
        </w:rPr>
        <w:t>）</w:t>
      </w:r>
    </w:p>
    <w:p w14:paraId="59E92D35">
      <w:pPr>
        <w:autoSpaceDE w:val="0"/>
        <w:autoSpaceDN w:val="0"/>
        <w:adjustRightInd w:val="0"/>
        <w:snapToGrid w:val="0"/>
        <w:spacing w:line="288" w:lineRule="auto"/>
        <w:jc w:val="both"/>
        <w:rPr>
          <w:color w:val="000000"/>
          <w:sz w:val="18"/>
          <w:szCs w:val="18"/>
          <w:lang w:eastAsia="zh-CN"/>
        </w:rPr>
      </w:pPr>
      <w:r>
        <w:rPr>
          <w:rFonts w:hint="eastAsia"/>
          <w:b/>
          <w:bCs/>
          <w:color w:val="000000"/>
          <w:sz w:val="18"/>
          <w:szCs w:val="18"/>
          <w:lang w:val="en-US" w:eastAsia="zh-CN"/>
        </w:rPr>
        <w:t>First</w:t>
      </w:r>
      <w:r>
        <w:rPr>
          <w:rFonts w:hint="eastAsia"/>
          <w:b/>
          <w:bCs/>
          <w:color w:val="000000"/>
          <w:sz w:val="18"/>
          <w:szCs w:val="18"/>
          <w:lang w:eastAsia="zh-CN"/>
        </w:rPr>
        <w:t xml:space="preserve"> author: </w:t>
      </w:r>
      <w:r>
        <w:rPr>
          <w:rFonts w:hint="eastAsia"/>
          <w:color w:val="000000"/>
          <w:sz w:val="18"/>
          <w:szCs w:val="18"/>
          <w:lang w:eastAsia="zh-CN"/>
        </w:rPr>
        <w:t>ZUO Zheming, E-mail:11111@qq.com</w:t>
      </w:r>
      <w:bookmarkStart w:id="8" w:name="_GoBack"/>
      <w:bookmarkEnd w:id="8"/>
    </w:p>
    <w:p w14:paraId="61783061">
      <w:pPr>
        <w:autoSpaceDE w:val="0"/>
        <w:autoSpaceDN w:val="0"/>
        <w:adjustRightInd w:val="0"/>
        <w:snapToGrid w:val="0"/>
        <w:spacing w:line="288" w:lineRule="auto"/>
        <w:jc w:val="both"/>
        <w:rPr>
          <w:color w:val="000000"/>
          <w:sz w:val="18"/>
          <w:szCs w:val="18"/>
          <w:lang w:eastAsia="zh-CN"/>
        </w:rPr>
      </w:pPr>
      <w:r>
        <w:rPr>
          <w:rFonts w:hint="eastAsia"/>
          <w:b/>
          <w:bCs/>
          <w:color w:val="000000"/>
          <w:sz w:val="18"/>
          <w:szCs w:val="18"/>
          <w:lang w:eastAsia="zh-CN"/>
        </w:rPr>
        <w:t>*Corresponding author</w:t>
      </w:r>
      <w:r>
        <w:rPr>
          <w:rFonts w:hint="eastAsia"/>
          <w:color w:val="000000"/>
          <w:sz w:val="18"/>
          <w:szCs w:val="18"/>
          <w:lang w:eastAsia="zh-CN"/>
        </w:rPr>
        <w:t>: Given Name SURNAME, E-mail: 11111@163.com</w:t>
      </w:r>
    </w:p>
    <w:p w14:paraId="5AE4E92E">
      <w:pPr>
        <w:autoSpaceDE w:val="0"/>
        <w:autoSpaceDN w:val="0"/>
        <w:adjustRightInd w:val="0"/>
        <w:snapToGrid w:val="0"/>
        <w:spacing w:line="288" w:lineRule="auto"/>
        <w:jc w:val="both"/>
        <w:rPr>
          <w:color w:val="000000"/>
          <w:sz w:val="18"/>
          <w:szCs w:val="18"/>
          <w:lang w:eastAsia="zh-CN"/>
        </w:rPr>
      </w:pPr>
    </w:p>
    <w:p w14:paraId="1AD271CA">
      <w:pPr>
        <w:adjustRightInd w:val="0"/>
        <w:snapToGrid w:val="0"/>
        <w:spacing w:line="288" w:lineRule="auto"/>
        <w:rPr>
          <w:sz w:val="21"/>
          <w:szCs w:val="21"/>
          <w:lang w:eastAsia="zh-CN"/>
        </w:rPr>
      </w:pPr>
      <w:r>
        <w:rPr>
          <w:sz w:val="21"/>
          <w:szCs w:val="21"/>
          <w:lang w:eastAsia="zh-CN"/>
        </w:rPr>
        <w:t>（空一行）</w:t>
      </w:r>
    </w:p>
    <w:p w14:paraId="16641153">
      <w:pPr>
        <w:adjustRightInd w:val="0"/>
        <w:snapToGrid w:val="0"/>
        <w:spacing w:line="288" w:lineRule="auto"/>
        <w:rPr>
          <w:b/>
          <w:bCs/>
          <w:sz w:val="21"/>
          <w:szCs w:val="21"/>
          <w:lang w:eastAsia="zh-CN"/>
        </w:rPr>
      </w:pPr>
      <w:r>
        <w:rPr>
          <w:rFonts w:hint="eastAsia"/>
          <w:b/>
          <w:bCs/>
          <w:sz w:val="21"/>
          <w:szCs w:val="21"/>
          <w:lang w:eastAsia="zh-CN"/>
        </w:rPr>
        <w:t>本文创新性说明：（请作者在此处写明文章主要创新）。</w:t>
      </w:r>
    </w:p>
    <w:p w14:paraId="17F966CF">
      <w:pPr>
        <w:tabs>
          <w:tab w:val="left" w:pos="360"/>
        </w:tabs>
        <w:adjustRightInd w:val="0"/>
        <w:snapToGrid w:val="0"/>
        <w:spacing w:line="288" w:lineRule="auto"/>
        <w:rPr>
          <w:rFonts w:eastAsia="黑体"/>
          <w:sz w:val="17"/>
          <w:szCs w:val="21"/>
          <w:lang w:eastAsia="zh-CN"/>
        </w:rPr>
        <w:sectPr>
          <w:pgSz w:w="11906" w:h="16838"/>
          <w:pgMar w:top="2155" w:right="1474" w:bottom="1418" w:left="1474" w:header="1417" w:footer="992" w:gutter="0"/>
          <w:pgNumType w:start="1"/>
          <w:cols w:space="425" w:num="1"/>
          <w:titlePg/>
          <w:docGrid w:linePitch="326" w:charSpace="0"/>
        </w:sectPr>
      </w:pPr>
    </w:p>
    <w:p w14:paraId="55E9DBE1">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0  引  言（一级标题，黑体，四号）</w:t>
      </w:r>
      <w:r>
        <w:rPr>
          <w:vanish/>
          <w:vertAlign w:val="superscript"/>
        </w:rPr>
        <w:footnoteReference w:id="0"/>
      </w:r>
    </w:p>
    <w:p w14:paraId="07A527ED">
      <w:pPr>
        <w:widowControl w:val="0"/>
        <w:spacing w:line="288" w:lineRule="auto"/>
        <w:ind w:firstLine="420" w:firstLineChars="200"/>
        <w:jc w:val="both"/>
        <w:rPr>
          <w:bCs/>
          <w:sz w:val="21"/>
          <w:szCs w:val="21"/>
          <w:lang w:eastAsia="zh-CN"/>
        </w:rPr>
      </w:pPr>
      <w:r>
        <w:rPr>
          <w:bCs/>
          <w:sz w:val="21"/>
          <w:szCs w:val="21"/>
          <w:lang w:eastAsia="zh-CN"/>
        </w:rPr>
        <w:t>该文档用于《智慧农业（中英文）》期刊电子稿件的格式规范化。文中边距、列宽、行间距和类型样式都是内置的。文档中提供了类型样式的示例，并在示例后面的括号内标识。来稿需遵循文中各项内容的标准。</w:t>
      </w:r>
    </w:p>
    <w:p w14:paraId="65F952C3">
      <w:pPr>
        <w:widowControl w:val="0"/>
        <w:spacing w:line="288" w:lineRule="auto"/>
        <w:ind w:firstLine="420" w:firstLineChars="200"/>
        <w:jc w:val="both"/>
        <w:rPr>
          <w:bCs/>
          <w:sz w:val="21"/>
          <w:szCs w:val="21"/>
          <w:lang w:eastAsia="zh-CN"/>
        </w:rPr>
      </w:pPr>
      <w:r>
        <w:rPr>
          <w:bCs/>
          <w:sz w:val="21"/>
          <w:szCs w:val="21"/>
          <w:lang w:eastAsia="zh-CN"/>
        </w:rPr>
        <w:t>本刊不接受一稿多投、雷同稿。要求论文反映的信息及学术成果须为作者原创、未公开发表过的论文。稿件一经被本刊录用，将随本刊在相关网络媒体及各合作数据库平台传播，并在纸质期刊发表时一次性支付稿酬，不同意</w:t>
      </w:r>
      <w:r>
        <w:rPr>
          <w:rFonts w:hint="eastAsia"/>
          <w:bCs/>
          <w:sz w:val="21"/>
          <w:szCs w:val="21"/>
          <w:lang w:eastAsia="zh-CN"/>
        </w:rPr>
        <w:t>进行网络传播</w:t>
      </w:r>
      <w:r>
        <w:rPr>
          <w:bCs/>
          <w:sz w:val="21"/>
          <w:szCs w:val="21"/>
          <w:lang w:eastAsia="zh-CN"/>
        </w:rPr>
        <w:t>的作者请在投稿时向编辑部声明。</w:t>
      </w:r>
    </w:p>
    <w:p w14:paraId="28E8EE5D">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1  文章的组成</w:t>
      </w:r>
    </w:p>
    <w:p w14:paraId="0B0D325E">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1.1 题名（二级标题，黑体，小四）</w:t>
      </w:r>
    </w:p>
    <w:p w14:paraId="1451E5B1">
      <w:pPr>
        <w:widowControl w:val="0"/>
        <w:spacing w:line="288" w:lineRule="auto"/>
        <w:ind w:firstLine="420" w:firstLineChars="200"/>
        <w:jc w:val="both"/>
        <w:rPr>
          <w:bCs/>
          <w:sz w:val="21"/>
          <w:szCs w:val="21"/>
          <w:lang w:eastAsia="zh-CN"/>
        </w:rPr>
      </w:pPr>
      <w:r>
        <w:rPr>
          <w:bCs/>
          <w:sz w:val="21"/>
          <w:szCs w:val="21"/>
          <w:lang w:eastAsia="zh-CN"/>
        </w:rPr>
        <w:t>文章的中英文题名通栏居中。副标题前加破折号后位于正标题下方第三个字缩进。题名应简明、具体、确切，概括文章的主旨，符合编制题录、索引和检索有关原则，有助于选择关键词。英文题名与中文题名含义一致。英文题名中实词首字母大写，其余均小写，副标题前不加破折号。</w:t>
      </w:r>
    </w:p>
    <w:p w14:paraId="24E56ADA">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1.2 作者及基金项目资助</w:t>
      </w:r>
    </w:p>
    <w:p w14:paraId="104105D7">
      <w:pPr>
        <w:tabs>
          <w:tab w:val="left" w:pos="468"/>
        </w:tabs>
        <w:adjustRightInd w:val="0"/>
        <w:spacing w:before="120" w:beforeLines="50" w:after="120" w:afterLines="50" w:line="288" w:lineRule="auto"/>
        <w:jc w:val="both"/>
        <w:rPr>
          <w:rFonts w:eastAsia="黑体"/>
          <w:bCs/>
          <w:sz w:val="21"/>
          <w:szCs w:val="21"/>
          <w:lang w:eastAsia="zh-CN"/>
        </w:rPr>
      </w:pPr>
      <w:r>
        <w:rPr>
          <w:rFonts w:eastAsia="黑体"/>
          <w:bCs/>
          <w:sz w:val="21"/>
          <w:szCs w:val="21"/>
          <w:lang w:eastAsia="zh-CN"/>
        </w:rPr>
        <w:t>1.2.1 作者（三级标题，黑体，五号）</w:t>
      </w:r>
    </w:p>
    <w:p w14:paraId="2989B803">
      <w:pPr>
        <w:widowControl w:val="0"/>
        <w:spacing w:line="288" w:lineRule="auto"/>
        <w:ind w:firstLine="420" w:firstLineChars="200"/>
        <w:jc w:val="both"/>
        <w:rPr>
          <w:bCs/>
          <w:sz w:val="21"/>
          <w:szCs w:val="21"/>
          <w:lang w:eastAsia="zh-CN"/>
        </w:rPr>
      </w:pPr>
      <w:r>
        <w:rPr>
          <w:bCs/>
          <w:sz w:val="21"/>
          <w:szCs w:val="21"/>
          <w:lang w:eastAsia="zh-CN"/>
        </w:rPr>
        <w:t>作者姓名顺序列举于题名下方通栏居中。作者之间用全角逗号</w:t>
      </w:r>
      <w:r>
        <w:rPr>
          <w:rFonts w:hint="eastAsia"/>
          <w:bCs/>
          <w:sz w:val="21"/>
          <w:szCs w:val="21"/>
          <w:lang w:eastAsia="zh-CN"/>
        </w:rPr>
        <w:t>“</w:t>
      </w:r>
      <w:r>
        <w:rPr>
          <w:bCs/>
          <w:sz w:val="21"/>
          <w:szCs w:val="21"/>
          <w:lang w:eastAsia="zh-CN"/>
        </w:rPr>
        <w:t>，</w:t>
      </w:r>
      <w:r>
        <w:rPr>
          <w:rFonts w:hint="eastAsia"/>
          <w:bCs/>
          <w:sz w:val="21"/>
          <w:szCs w:val="21"/>
          <w:lang w:eastAsia="zh-CN"/>
        </w:rPr>
        <w:t>”</w:t>
      </w:r>
      <w:r>
        <w:rPr>
          <w:bCs/>
          <w:sz w:val="21"/>
          <w:szCs w:val="21"/>
          <w:lang w:eastAsia="zh-CN"/>
        </w:rPr>
        <w:t>分隔，不同工作单位的作者应在姓名右上角加注阿拉伯数字注明作者单位顺序。英文姓名位于英文题名下方，作者姓名拼音，姓前名后，姓字母全部大写，名首字母大写，姓、名均不能缩写。</w:t>
      </w:r>
    </w:p>
    <w:p w14:paraId="236519B1">
      <w:pPr>
        <w:tabs>
          <w:tab w:val="left" w:pos="468"/>
        </w:tabs>
        <w:adjustRightInd w:val="0"/>
        <w:spacing w:before="120" w:beforeLines="50" w:after="120" w:afterLines="50" w:line="288" w:lineRule="auto"/>
        <w:jc w:val="both"/>
        <w:rPr>
          <w:rFonts w:eastAsia="黑体"/>
          <w:bCs/>
          <w:sz w:val="21"/>
          <w:szCs w:val="21"/>
          <w:lang w:eastAsia="zh-CN"/>
        </w:rPr>
      </w:pPr>
      <w:r>
        <w:rPr>
          <w:rFonts w:eastAsia="黑体"/>
          <w:bCs/>
          <w:sz w:val="21"/>
          <w:szCs w:val="21"/>
          <w:lang w:eastAsia="zh-CN"/>
        </w:rPr>
        <w:t>1.2.2 作者单位</w:t>
      </w:r>
    </w:p>
    <w:p w14:paraId="78976387">
      <w:pPr>
        <w:widowControl w:val="0"/>
        <w:spacing w:line="288" w:lineRule="auto"/>
        <w:ind w:firstLine="420" w:firstLineChars="200"/>
        <w:jc w:val="both"/>
        <w:rPr>
          <w:bCs/>
          <w:sz w:val="21"/>
          <w:szCs w:val="21"/>
          <w:lang w:eastAsia="zh-CN"/>
        </w:rPr>
      </w:pPr>
      <w:r>
        <w:rPr>
          <w:bCs/>
          <w:sz w:val="21"/>
          <w:szCs w:val="21"/>
          <w:lang w:eastAsia="zh-CN"/>
        </w:rPr>
        <w:t>按照作者姓名右上角标识顺序列举作者所属单位。作者的工作单位均应包括单位全称，详细到院系、实验室或部门等，单位名称后为所在省市及邮政编码，单位名称与省市之间应以逗号“，”分隔，整个数据项用圆括号“（）”括起。多作者的工作单位名称前加与作者姓名序号相同的数字序号，各工作单位之间连排时以全角分号“；”分隔。作者工作单位的英译文还应在邮编之后加“, China”， 多个工作单位用半角分号加空格“; ”隔开。英文单位地点字体样式斜体，标引序号和邮政编码数字正体。</w:t>
      </w:r>
    </w:p>
    <w:p w14:paraId="62D23624">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1.3 篇首页脚</w:t>
      </w:r>
    </w:p>
    <w:p w14:paraId="3573E5E9">
      <w:pPr>
        <w:widowControl w:val="0"/>
        <w:spacing w:line="288" w:lineRule="auto"/>
        <w:ind w:firstLine="420" w:firstLineChars="200"/>
        <w:jc w:val="both"/>
        <w:rPr>
          <w:bCs/>
          <w:sz w:val="21"/>
          <w:szCs w:val="21"/>
          <w:lang w:eastAsia="zh-CN"/>
        </w:rPr>
      </w:pPr>
      <w:r>
        <w:rPr>
          <w:bCs/>
          <w:sz w:val="21"/>
          <w:szCs w:val="21"/>
          <w:lang w:eastAsia="zh-CN"/>
        </w:rPr>
        <w:t>篇首页页脚位于文章首页左下角，与正文用横线分隔。页脚先排中文收稿日期，格式为：“收稿日期：年-月-日”。</w:t>
      </w:r>
    </w:p>
    <w:p w14:paraId="3A47E586">
      <w:pPr>
        <w:tabs>
          <w:tab w:val="left" w:pos="468"/>
        </w:tabs>
        <w:adjustRightInd w:val="0"/>
        <w:spacing w:before="120" w:beforeLines="50" w:after="120" w:afterLines="50" w:line="288" w:lineRule="auto"/>
        <w:jc w:val="both"/>
        <w:rPr>
          <w:rFonts w:eastAsia="黑体"/>
          <w:bCs/>
          <w:sz w:val="21"/>
          <w:szCs w:val="21"/>
          <w:lang w:eastAsia="zh-CN"/>
        </w:rPr>
      </w:pPr>
      <w:r>
        <w:rPr>
          <w:rFonts w:eastAsia="黑体"/>
          <w:bCs/>
          <w:sz w:val="21"/>
          <w:szCs w:val="21"/>
          <w:lang w:eastAsia="zh-CN"/>
        </w:rPr>
        <w:t>1.3.1 项目资助</w:t>
      </w:r>
    </w:p>
    <w:p w14:paraId="733D2343">
      <w:pPr>
        <w:widowControl w:val="0"/>
        <w:spacing w:line="288" w:lineRule="auto"/>
        <w:ind w:firstLine="420" w:firstLineChars="200"/>
        <w:jc w:val="both"/>
        <w:rPr>
          <w:bCs/>
          <w:sz w:val="21"/>
          <w:szCs w:val="21"/>
          <w:lang w:eastAsia="zh-CN"/>
        </w:rPr>
      </w:pPr>
      <w:r>
        <w:rPr>
          <w:bCs/>
          <w:sz w:val="21"/>
          <w:szCs w:val="21"/>
          <w:lang w:eastAsia="zh-CN"/>
        </w:rPr>
        <w:t>收稿日期和修回日期下方排基金项目。基金项目指文章产出的资助背景。注明基金项目（国家级、省部级或其他）名称与编号，编号用（）括起，或文稿产生与受资助的情况；项目如通过鉴定或获奖，也请寄送证明材料（报奖的在获奖后补寄复印件），本刊将予以优先发表。多项基金项目中间用全角分号</w:t>
      </w:r>
      <w:r>
        <w:rPr>
          <w:rFonts w:hint="eastAsia"/>
          <w:bCs/>
          <w:sz w:val="21"/>
          <w:szCs w:val="21"/>
          <w:lang w:eastAsia="zh-CN"/>
        </w:rPr>
        <w:t>“</w:t>
      </w:r>
      <w:r>
        <w:rPr>
          <w:bCs/>
          <w:sz w:val="21"/>
          <w:szCs w:val="21"/>
          <w:lang w:eastAsia="zh-CN"/>
        </w:rPr>
        <w:t>；</w:t>
      </w:r>
      <w:r>
        <w:rPr>
          <w:rFonts w:hint="eastAsia"/>
          <w:bCs/>
          <w:sz w:val="21"/>
          <w:szCs w:val="21"/>
          <w:lang w:eastAsia="zh-CN"/>
        </w:rPr>
        <w:t>”</w:t>
      </w:r>
      <w:r>
        <w:rPr>
          <w:bCs/>
          <w:sz w:val="21"/>
          <w:szCs w:val="21"/>
          <w:lang w:eastAsia="zh-CN"/>
        </w:rPr>
        <w:t>分隔，项目名称后必须有项目编号，编号用括号括起。英文基金项目名称需写全称。基金项目列举结束之后不加句号。</w:t>
      </w:r>
    </w:p>
    <w:p w14:paraId="0B7EBC87">
      <w:pPr>
        <w:tabs>
          <w:tab w:val="left" w:pos="468"/>
        </w:tabs>
        <w:adjustRightInd w:val="0"/>
        <w:spacing w:before="120" w:beforeLines="50" w:after="120" w:afterLines="50" w:line="288" w:lineRule="auto"/>
        <w:jc w:val="both"/>
        <w:rPr>
          <w:rFonts w:eastAsia="黑体"/>
          <w:bCs/>
          <w:sz w:val="21"/>
          <w:szCs w:val="21"/>
          <w:lang w:eastAsia="zh-CN"/>
        </w:rPr>
      </w:pPr>
      <w:r>
        <w:rPr>
          <w:rFonts w:eastAsia="黑体"/>
          <w:bCs/>
          <w:sz w:val="21"/>
          <w:szCs w:val="21"/>
          <w:lang w:eastAsia="zh-CN"/>
        </w:rPr>
        <w:t>1.3.2 第一作者及通信作者简介</w:t>
      </w:r>
    </w:p>
    <w:p w14:paraId="18132BD6">
      <w:pPr>
        <w:widowControl w:val="0"/>
        <w:spacing w:line="288" w:lineRule="auto"/>
        <w:ind w:firstLine="420" w:firstLineChars="200"/>
        <w:jc w:val="both"/>
        <w:rPr>
          <w:bCs/>
          <w:sz w:val="21"/>
          <w:szCs w:val="21"/>
          <w:lang w:eastAsia="zh-CN"/>
        </w:rPr>
      </w:pPr>
      <w:r>
        <w:rPr>
          <w:bCs/>
          <w:sz w:val="21"/>
          <w:szCs w:val="21"/>
          <w:lang w:eastAsia="zh-CN"/>
        </w:rPr>
        <w:t>基金项目下方列举作者简介，可按下列顺序刊出其简介：姓名（出生年－），学位或目前学历，职称，研究方向，E-mail。在简介前加“作者简介：”作为标识。同一篇文章的其他主要作者简介可以在同一“作者简介：”的标识后相继列出，其间以分号“；”分隔。本刊刊登第一作者、通讯作者简介。</w:t>
      </w:r>
    </w:p>
    <w:p w14:paraId="32856B56">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1.4 摘要与关键词</w:t>
      </w:r>
    </w:p>
    <w:p w14:paraId="43739DBB">
      <w:pPr>
        <w:widowControl w:val="0"/>
        <w:spacing w:line="288" w:lineRule="auto"/>
        <w:ind w:firstLine="420" w:firstLineChars="200"/>
        <w:jc w:val="both"/>
        <w:rPr>
          <w:bCs/>
          <w:sz w:val="21"/>
          <w:szCs w:val="21"/>
          <w:lang w:eastAsia="zh-CN"/>
        </w:rPr>
      </w:pPr>
      <w:r>
        <w:rPr>
          <w:bCs/>
          <w:sz w:val="21"/>
          <w:szCs w:val="21"/>
          <w:lang w:eastAsia="zh-CN"/>
        </w:rPr>
        <w:t>摘要与关键词的具体要求在示例中已标明。中英文摘要分别通栏排于中英文作者单位下方。英文摘要内容不用与中文一致。中英文摘要中不出现插图、表格，以及参考文献序号，不用数学公式，不分段。</w:t>
      </w:r>
    </w:p>
    <w:p w14:paraId="4576E075">
      <w:pPr>
        <w:widowControl w:val="0"/>
        <w:spacing w:line="288" w:lineRule="auto"/>
        <w:ind w:firstLine="420" w:firstLineChars="200"/>
        <w:jc w:val="both"/>
        <w:rPr>
          <w:bCs/>
          <w:sz w:val="21"/>
          <w:szCs w:val="21"/>
          <w:lang w:eastAsia="zh-CN"/>
        </w:rPr>
      </w:pPr>
      <w:r>
        <w:rPr>
          <w:bCs/>
          <w:sz w:val="21"/>
          <w:szCs w:val="21"/>
          <w:lang w:eastAsia="zh-CN"/>
        </w:rPr>
        <w:t>中英文关键词置于摘要段下面排通栏。关键词列举完毕后不加句号。一般选5～8个关键词。按GB/T3860的原则和方法参照各种词表和工具书选取；未被词表收录的新学科、新技术中的重要术语以及文章题名中的人名、地名也可以作为关键词标出。词间用分号“；”分隔。中、英文关键词一一对应。</w:t>
      </w:r>
    </w:p>
    <w:p w14:paraId="7C8DB3F4">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1.5 中图分类号</w:t>
      </w:r>
    </w:p>
    <w:p w14:paraId="633D9478">
      <w:pPr>
        <w:widowControl w:val="0"/>
        <w:spacing w:line="288" w:lineRule="auto"/>
        <w:ind w:firstLine="420" w:firstLineChars="200"/>
        <w:jc w:val="both"/>
        <w:rPr>
          <w:bCs/>
          <w:sz w:val="21"/>
          <w:szCs w:val="21"/>
          <w:lang w:eastAsia="zh-CN"/>
        </w:rPr>
      </w:pPr>
      <w:r>
        <w:rPr>
          <w:bCs/>
          <w:sz w:val="21"/>
          <w:szCs w:val="21"/>
          <w:lang w:eastAsia="zh-CN"/>
        </w:rPr>
        <w:t>在中文关键词的下方，按《中国图书分类法》（第4版）给出本篇文章的“中图分类号：”，参考网站http://ztflh.xhma.com/。文章一般标识1个分类号，多个主题的文章可标识2个或3个分类号；主分类号排在第一位，多个分类号之间以分号分隔。在“中图分类号：”后空两格，填写本文的“文献标志码：”。</w:t>
      </w:r>
    </w:p>
    <w:p w14:paraId="4C75B11C">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1.6文献标识码</w:t>
      </w:r>
    </w:p>
    <w:p w14:paraId="5A186021">
      <w:pPr>
        <w:widowControl w:val="0"/>
        <w:spacing w:line="288" w:lineRule="auto"/>
        <w:ind w:firstLine="420" w:firstLineChars="200"/>
        <w:jc w:val="both"/>
        <w:rPr>
          <w:bCs/>
          <w:sz w:val="21"/>
          <w:szCs w:val="21"/>
          <w:lang w:eastAsia="zh-CN"/>
        </w:rPr>
      </w:pPr>
      <w:r>
        <w:rPr>
          <w:bCs/>
          <w:sz w:val="21"/>
          <w:szCs w:val="21"/>
          <w:lang w:eastAsia="zh-CN"/>
        </w:rPr>
        <w:t>文献标志码共设以下5种：A——理论与应用研究学术论文（包括综述报告）；B——实用性技术成果报告。C——业务指导与技术管理性文章（包括综述、特约评论等）；D——一般动态性信息（通讯、报道、会议活动、专访等）；E——文件、资料（包括历史资料、统计资料、机构、人物、书刊、知识介绍等）。</w:t>
      </w:r>
      <w:r>
        <w:rPr>
          <w:rFonts w:hint="eastAsia"/>
          <w:bCs/>
          <w:sz w:val="21"/>
          <w:szCs w:val="21"/>
          <w:lang w:eastAsia="zh-CN"/>
        </w:rPr>
        <w:t>期刊论文一般为A。</w:t>
      </w:r>
    </w:p>
    <w:p w14:paraId="742CAD79">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1.7正文层次标题</w:t>
      </w:r>
    </w:p>
    <w:p w14:paraId="7107F2D7">
      <w:pPr>
        <w:widowControl w:val="0"/>
        <w:spacing w:line="288" w:lineRule="auto"/>
        <w:ind w:firstLine="420" w:firstLineChars="200"/>
        <w:jc w:val="both"/>
        <w:rPr>
          <w:b/>
          <w:bCs/>
          <w:sz w:val="21"/>
          <w:szCs w:val="21"/>
          <w:lang w:eastAsia="zh-CN"/>
        </w:rPr>
      </w:pPr>
      <w:r>
        <w:rPr>
          <w:bCs/>
          <w:sz w:val="21"/>
          <w:szCs w:val="21"/>
          <w:lang w:eastAsia="zh-CN"/>
        </w:rPr>
        <w:t>正文是论文的主体，系指引言之后结论之前的部分，除本规范要求，其他内容参考GB 7713-87的规定格式编写。根据需要，论文可以分层深入，逐层剖析，按层设分层标题。所有标题号均左顶格排。各个级别的标题均使用黑体。标题用阿拉伯数字进行编号。</w:t>
      </w:r>
    </w:p>
    <w:p w14:paraId="58FC13EC">
      <w:pPr>
        <w:widowControl w:val="0"/>
        <w:spacing w:line="288" w:lineRule="auto"/>
        <w:ind w:firstLine="420" w:firstLineChars="200"/>
        <w:jc w:val="both"/>
        <w:rPr>
          <w:bCs/>
          <w:sz w:val="21"/>
          <w:szCs w:val="21"/>
          <w:lang w:eastAsia="zh-CN"/>
        </w:rPr>
      </w:pPr>
      <w:r>
        <w:rPr>
          <w:bCs/>
          <w:sz w:val="21"/>
          <w:szCs w:val="21"/>
          <w:lang w:eastAsia="zh-CN"/>
        </w:rPr>
        <w:t>示例：</w:t>
      </w:r>
    </w:p>
    <w:p w14:paraId="59951B46">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 xml:space="preserve">0  </w:t>
      </w:r>
      <w:r>
        <w:rPr>
          <w:rFonts w:hint="eastAsia" w:eastAsia="黑体"/>
          <w:sz w:val="28"/>
          <w:szCs w:val="28"/>
          <w:lang w:eastAsia="zh-CN"/>
        </w:rPr>
        <w:t>引言</w:t>
      </w:r>
      <w:r>
        <w:rPr>
          <w:rFonts w:eastAsia="黑体"/>
          <w:sz w:val="28"/>
          <w:szCs w:val="28"/>
          <w:lang w:eastAsia="zh-CN"/>
        </w:rPr>
        <w:t>（</w:t>
      </w:r>
      <w:r>
        <w:rPr>
          <w:rFonts w:hint="eastAsia" w:eastAsia="黑体"/>
          <w:sz w:val="28"/>
          <w:szCs w:val="28"/>
          <w:lang w:eastAsia="zh-CN"/>
        </w:rPr>
        <w:t>同一级标题格式一样，</w:t>
      </w:r>
      <w:r>
        <w:rPr>
          <w:rFonts w:eastAsia="黑体"/>
          <w:sz w:val="28"/>
          <w:szCs w:val="28"/>
          <w:lang w:eastAsia="zh-CN"/>
        </w:rPr>
        <w:t>黑体、四号）</w:t>
      </w:r>
    </w:p>
    <w:p w14:paraId="484444C4">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1  一级标题（黑体、四号）</w:t>
      </w:r>
    </w:p>
    <w:p w14:paraId="7E0EE219">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1.1  二级标题（黑体、小四）</w:t>
      </w:r>
    </w:p>
    <w:p w14:paraId="1C04E38D">
      <w:pPr>
        <w:tabs>
          <w:tab w:val="left" w:pos="468"/>
        </w:tabs>
        <w:adjustRightInd w:val="0"/>
        <w:spacing w:before="120" w:beforeLines="50" w:after="120" w:afterLines="50" w:line="288" w:lineRule="auto"/>
        <w:jc w:val="both"/>
        <w:rPr>
          <w:rFonts w:eastAsia="黑体"/>
          <w:bCs/>
          <w:sz w:val="21"/>
          <w:szCs w:val="21"/>
          <w:lang w:eastAsia="zh-CN"/>
        </w:rPr>
      </w:pPr>
      <w:r>
        <w:rPr>
          <w:rFonts w:eastAsia="黑体"/>
          <w:bCs/>
          <w:sz w:val="21"/>
          <w:szCs w:val="21"/>
          <w:lang w:eastAsia="zh-CN"/>
        </w:rPr>
        <w:t>1.1.1  三级标题（黑体、五号）</w:t>
      </w:r>
    </w:p>
    <w:p w14:paraId="029A657A">
      <w:pPr>
        <w:spacing w:line="264" w:lineRule="auto"/>
        <w:ind w:firstLine="105" w:firstLineChars="50"/>
        <w:rPr>
          <w:bCs/>
          <w:sz w:val="21"/>
          <w:szCs w:val="21"/>
          <w:lang w:eastAsia="zh-CN"/>
        </w:rPr>
      </w:pPr>
      <w:r>
        <w:rPr>
          <w:bCs/>
          <w:sz w:val="21"/>
          <w:szCs w:val="21"/>
          <w:lang w:eastAsia="zh-CN"/>
        </w:rPr>
        <w:t>1）其他层次（宋体、五号）</w:t>
      </w:r>
    </w:p>
    <w:p w14:paraId="7833B735">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2  一级标题（黑体、四号）</w:t>
      </w:r>
    </w:p>
    <w:p w14:paraId="73086DCE">
      <w:pPr>
        <w:spacing w:line="264" w:lineRule="auto"/>
        <w:ind w:firstLine="105" w:firstLineChars="50"/>
        <w:rPr>
          <w:bCs/>
          <w:sz w:val="21"/>
          <w:szCs w:val="21"/>
          <w:lang w:eastAsia="zh-CN"/>
        </w:rPr>
      </w:pPr>
    </w:p>
    <w:p w14:paraId="25696ADA">
      <w:pPr>
        <w:spacing w:line="264" w:lineRule="auto"/>
        <w:rPr>
          <w:lang w:eastAsia="zh-CN"/>
        </w:rPr>
      </w:pPr>
      <w:r>
        <w:rPr>
          <w:lang w:eastAsia="zh-CN"/>
        </w:rPr>
        <w:t>…………</w:t>
      </w:r>
    </w:p>
    <w:p w14:paraId="58350024">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1.8 参考文献</w:t>
      </w:r>
    </w:p>
    <w:p w14:paraId="045341D8">
      <w:pPr>
        <w:widowControl w:val="0"/>
        <w:spacing w:line="288" w:lineRule="auto"/>
        <w:ind w:firstLine="420" w:firstLineChars="200"/>
        <w:jc w:val="both"/>
        <w:rPr>
          <w:bCs/>
          <w:sz w:val="21"/>
          <w:szCs w:val="21"/>
          <w:lang w:eastAsia="zh-CN"/>
        </w:rPr>
      </w:pPr>
      <w:bookmarkStart w:id="0" w:name="_Hlk528153288"/>
      <w:r>
        <w:rPr>
          <w:bCs/>
          <w:sz w:val="21"/>
          <w:szCs w:val="21"/>
          <w:lang w:eastAsia="zh-CN"/>
        </w:rPr>
        <w:t>根据GB/T 7714-2015要求整理参考文献。尽量引用近年发表的处于前沿研究、水平较高与文章内容联系密切的文献，剔除那些发表时间较久、水平偏低、与文章内容联系不多的文献。参考文献数量：</w:t>
      </w:r>
      <w:r>
        <w:rPr>
          <w:rFonts w:hint="eastAsia"/>
          <w:bCs/>
          <w:sz w:val="21"/>
          <w:szCs w:val="21"/>
          <w:lang w:eastAsia="zh-CN"/>
        </w:rPr>
        <w:t>为尽可能地提高作者对研究领域的研究进展，防止由于所投文章给出局限性地分析或结论，请作者广泛阅读本研究领域发表的高水平文献，</w:t>
      </w:r>
      <w:r>
        <w:rPr>
          <w:b/>
          <w:bCs/>
          <w:sz w:val="21"/>
          <w:szCs w:val="21"/>
          <w:lang w:eastAsia="zh-CN"/>
        </w:rPr>
        <w:t>一般研究论文</w:t>
      </w:r>
      <w:r>
        <w:rPr>
          <w:rFonts w:hint="eastAsia"/>
          <w:b/>
          <w:bCs/>
          <w:sz w:val="21"/>
          <w:szCs w:val="21"/>
          <w:lang w:eastAsia="zh-CN"/>
        </w:rPr>
        <w:t>不少于25</w:t>
      </w:r>
      <w:r>
        <w:rPr>
          <w:b/>
          <w:bCs/>
          <w:sz w:val="21"/>
          <w:szCs w:val="21"/>
          <w:lang w:eastAsia="zh-CN"/>
        </w:rPr>
        <w:t>篇参考文献，综述论文不少于80篇参考文献。</w:t>
      </w:r>
      <w:r>
        <w:rPr>
          <w:bCs/>
          <w:sz w:val="21"/>
          <w:szCs w:val="21"/>
          <w:lang w:eastAsia="zh-CN"/>
        </w:rPr>
        <w:t>避免引用非公开出版物和未公开发表的文章。</w:t>
      </w:r>
      <w:bookmarkEnd w:id="0"/>
      <w:r>
        <w:rPr>
          <w:bCs/>
          <w:sz w:val="21"/>
          <w:szCs w:val="21"/>
          <w:lang w:eastAsia="zh-CN"/>
        </w:rPr>
        <w:t>文后给出了一些参考文献示例，</w:t>
      </w:r>
      <w:bookmarkStart w:id="1" w:name="_Hlk528153302"/>
      <w:r>
        <w:rPr>
          <w:bCs/>
          <w:sz w:val="21"/>
          <w:szCs w:val="21"/>
          <w:lang w:eastAsia="zh-CN"/>
        </w:rPr>
        <w:t>本刊参考文献具体要求参照《智慧农业（中英文）参考文献规范》。</w:t>
      </w:r>
      <w:bookmarkEnd w:id="1"/>
    </w:p>
    <w:p w14:paraId="0911AA01">
      <w:pPr>
        <w:adjustRightInd w:val="0"/>
        <w:snapToGrid w:val="0"/>
        <w:spacing w:before="120" w:beforeLines="50" w:after="120" w:afterLines="50" w:line="288" w:lineRule="auto"/>
        <w:jc w:val="both"/>
        <w:rPr>
          <w:rFonts w:eastAsia="黑体"/>
          <w:sz w:val="28"/>
          <w:szCs w:val="28"/>
          <w:lang w:eastAsia="zh-CN"/>
        </w:rPr>
      </w:pPr>
      <w:bookmarkStart w:id="2" w:name="OLE_LINK79"/>
      <w:bookmarkStart w:id="3" w:name="OLE_LINK78"/>
      <w:r>
        <w:rPr>
          <w:rFonts w:eastAsia="黑体"/>
          <w:sz w:val="28"/>
          <w:szCs w:val="28"/>
          <w:lang w:eastAsia="zh-CN"/>
        </w:rPr>
        <w:t xml:space="preserve">2  </w:t>
      </w:r>
      <w:bookmarkEnd w:id="2"/>
      <w:bookmarkEnd w:id="3"/>
      <w:r>
        <w:rPr>
          <w:rFonts w:eastAsia="黑体"/>
          <w:sz w:val="28"/>
          <w:szCs w:val="28"/>
          <w:lang w:eastAsia="zh-CN"/>
        </w:rPr>
        <w:t>图和表</w:t>
      </w:r>
    </w:p>
    <w:p w14:paraId="05B39420">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2.1 插图说明</w:t>
      </w:r>
    </w:p>
    <w:p w14:paraId="55464619">
      <w:pPr>
        <w:widowControl w:val="0"/>
        <w:spacing w:line="288" w:lineRule="auto"/>
        <w:ind w:firstLine="420" w:firstLineChars="200"/>
        <w:jc w:val="both"/>
        <w:rPr>
          <w:bCs/>
          <w:sz w:val="21"/>
          <w:szCs w:val="21"/>
          <w:lang w:eastAsia="zh-CN"/>
        </w:rPr>
      </w:pPr>
      <w:r>
        <w:rPr>
          <w:bCs/>
          <w:sz w:val="21"/>
          <w:szCs w:val="21"/>
          <w:lang w:eastAsia="zh-CN"/>
        </w:rPr>
        <w:t>图包括曲线图、柱状直方图、构造图、示意图、流程图、记录图、布置图、地图、照片等。手工描图须用绘图纸清绘。</w:t>
      </w:r>
    </w:p>
    <w:p w14:paraId="03FC08F3">
      <w:pPr>
        <w:widowControl w:val="0"/>
        <w:spacing w:line="288" w:lineRule="auto"/>
        <w:ind w:firstLine="420" w:firstLineChars="200"/>
        <w:jc w:val="both"/>
        <w:rPr>
          <w:bCs/>
          <w:sz w:val="21"/>
          <w:szCs w:val="21"/>
          <w:lang w:eastAsia="zh-CN"/>
        </w:rPr>
      </w:pPr>
      <w:r>
        <w:rPr>
          <w:bCs/>
          <w:sz w:val="21"/>
          <w:szCs w:val="21"/>
          <w:lang w:eastAsia="zh-CN"/>
        </w:rPr>
        <w:t>图均应具有自明性，即图、图题、图注清楚明了。如数据已绘成曲线图，可不再重复列表。图题楷体，小五，居中，有相应的英文图题对照。</w:t>
      </w:r>
    </w:p>
    <w:p w14:paraId="76EFF9E9">
      <w:pPr>
        <w:widowControl w:val="0"/>
        <w:spacing w:line="288" w:lineRule="auto"/>
        <w:ind w:firstLine="420" w:firstLineChars="200"/>
        <w:jc w:val="both"/>
        <w:rPr>
          <w:bCs/>
          <w:sz w:val="21"/>
          <w:szCs w:val="21"/>
          <w:lang w:eastAsia="zh-CN"/>
        </w:rPr>
      </w:pPr>
      <w:r>
        <w:rPr>
          <w:bCs/>
          <w:sz w:val="21"/>
          <w:szCs w:val="21"/>
          <w:lang w:eastAsia="zh-CN"/>
        </w:rPr>
        <w:t>图中字体、线条、内容均清晰美观，分辨率不低于300 dpi。半栏图尽量控制在60～80 mm，通栏图控制在100～140 mm之间。</w:t>
      </w:r>
    </w:p>
    <w:p w14:paraId="6F536337">
      <w:pPr>
        <w:widowControl w:val="0"/>
        <w:spacing w:line="288" w:lineRule="auto"/>
        <w:ind w:firstLine="420" w:firstLineChars="200"/>
        <w:jc w:val="both"/>
        <w:rPr>
          <w:bCs/>
          <w:sz w:val="21"/>
          <w:szCs w:val="21"/>
          <w:lang w:eastAsia="zh-CN"/>
        </w:rPr>
      </w:pPr>
      <w:r>
        <w:rPr>
          <w:bCs/>
          <w:sz w:val="21"/>
          <w:szCs w:val="21"/>
          <w:lang w:eastAsia="zh-CN"/>
        </w:rPr>
        <w:t>插图一般不超过8幅，地理空间图请按照国家标准出图，要有比例尺、图例、指北针。全国范围的图件，一定不能缺漏“南海诸岛”、钓鱼岛和赤尾屿，且大图中有数据的，在局部图的放大版中也要对应标示出来。比例尺单位准确（公里缩写为km，小写；米为m；平方公里为km</w:t>
      </w:r>
      <w:r>
        <w:rPr>
          <w:bCs/>
          <w:sz w:val="21"/>
          <w:szCs w:val="21"/>
          <w:vertAlign w:val="superscript"/>
          <w:lang w:eastAsia="zh-CN"/>
        </w:rPr>
        <w:t>2</w:t>
      </w:r>
      <w:r>
        <w:rPr>
          <w:bCs/>
          <w:sz w:val="21"/>
          <w:szCs w:val="21"/>
          <w:lang w:eastAsia="zh-CN"/>
        </w:rPr>
        <w:t>，小写），数字在比例尺的右部出现，比例尺的数字要尽量取整数。</w:t>
      </w:r>
      <w:r>
        <w:rPr>
          <w:rFonts w:hint="eastAsia"/>
          <w:bCs/>
          <w:sz w:val="21"/>
          <w:szCs w:val="21"/>
          <w:lang w:eastAsia="zh-CN"/>
        </w:rPr>
        <w:t>凡涉国界图件（国内部分地区、全国、世界部分地区、全球）必须使用自然资源部标准地图底图（下载网址：http://bzdt.ch.mnr.gov.cn），所用底图边界要完全无修改（包括南海诸岛位置），为适应排版时图的缩放，比例尺一律用线段比例尺，而不用数字比例尺。并在图题下注明“注：该图基于自然资源部标准地图服务网站下载的审图号为GS(2016)xxxx号的标准地图制作，底图无修改。”。</w:t>
      </w:r>
    </w:p>
    <w:p w14:paraId="6D1233AF">
      <w:pPr>
        <w:widowControl w:val="0"/>
        <w:spacing w:line="288" w:lineRule="auto"/>
        <w:ind w:firstLine="422" w:firstLineChars="200"/>
        <w:jc w:val="both"/>
        <w:rPr>
          <w:bCs/>
          <w:sz w:val="21"/>
          <w:szCs w:val="21"/>
          <w:lang w:eastAsia="zh-CN"/>
        </w:rPr>
      </w:pPr>
      <w:r>
        <w:rPr>
          <w:b/>
          <w:bCs/>
          <w:sz w:val="21"/>
          <w:szCs w:val="21"/>
          <w:lang w:eastAsia="zh-CN"/>
        </w:rPr>
        <w:t>插图内的字号不小于6号，</w:t>
      </w:r>
      <w:r>
        <w:rPr>
          <w:rFonts w:hint="eastAsia"/>
          <w:b/>
          <w:bCs/>
          <w:sz w:val="21"/>
          <w:szCs w:val="21"/>
          <w:lang w:eastAsia="zh-CN"/>
        </w:rPr>
        <w:t>字号尽量一致或差别不大，</w:t>
      </w:r>
      <w:r>
        <w:rPr>
          <w:b/>
          <w:bCs/>
          <w:sz w:val="21"/>
          <w:szCs w:val="21"/>
          <w:lang w:eastAsia="zh-CN"/>
        </w:rPr>
        <w:t>中文宋体字，英文和数字Times New Roman，图中线条为0.5 pt，</w:t>
      </w:r>
      <w:r>
        <w:rPr>
          <w:bCs/>
          <w:sz w:val="21"/>
          <w:szCs w:val="21"/>
          <w:lang w:eastAsia="zh-CN"/>
        </w:rPr>
        <w:t>文字尽量不要与图形线段重叠。多条图线之间用阿拉伯数字标识、清晰可辨，曲线过度圆滑。对于比较大的图片，如果缩小后会导致内容不清晰，可以对该图片采用通栏格式。所有图片应尽可能采用“嵌入式”环绕方式，尽量避免采用“四周型”环绕方式，否则排版过程中极易出现图片位置难以控制的情况。范例图如图1所示。</w:t>
      </w:r>
    </w:p>
    <w:p w14:paraId="6E55A068">
      <w:pPr>
        <w:widowControl w:val="0"/>
        <w:spacing w:line="288" w:lineRule="auto"/>
        <w:ind w:firstLine="420" w:firstLineChars="200"/>
        <w:jc w:val="both"/>
        <w:rPr>
          <w:bCs/>
          <w:sz w:val="21"/>
          <w:szCs w:val="21"/>
          <w:lang w:eastAsia="zh-CN"/>
        </w:rPr>
      </w:pPr>
    </w:p>
    <w:p w14:paraId="65F79BE8">
      <w:pPr>
        <w:spacing w:line="288" w:lineRule="auto"/>
        <w:jc w:val="center"/>
        <w:rPr>
          <w:rFonts w:eastAsia="楷体"/>
          <w:sz w:val="18"/>
          <w:szCs w:val="18"/>
        </w:rPr>
      </w:pPr>
      <w:r>
        <w:rPr>
          <w:rFonts w:eastAsia="楷体"/>
          <w:sz w:val="18"/>
          <w:szCs w:val="18"/>
          <w:lang w:eastAsia="zh-CN"/>
        </w:rPr>
        <w:drawing>
          <wp:inline distT="0" distB="0" distL="0" distR="0">
            <wp:extent cx="2659380" cy="199644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2659380" cy="1996440"/>
                    </a:xfrm>
                    <a:prstGeom prst="rect">
                      <a:avLst/>
                    </a:prstGeom>
                    <a:noFill/>
                    <a:ln>
                      <a:noFill/>
                    </a:ln>
                  </pic:spPr>
                </pic:pic>
              </a:graphicData>
            </a:graphic>
          </wp:inline>
        </w:drawing>
      </w:r>
    </w:p>
    <w:p w14:paraId="6725034C">
      <w:pPr>
        <w:spacing w:line="288" w:lineRule="auto"/>
        <w:jc w:val="center"/>
        <w:rPr>
          <w:rFonts w:eastAsia="楷体"/>
          <w:sz w:val="18"/>
          <w:szCs w:val="18"/>
          <w:lang w:eastAsia="zh-CN"/>
        </w:rPr>
      </w:pPr>
      <w:r>
        <w:rPr>
          <w:rFonts w:eastAsia="楷体"/>
          <w:sz w:val="18"/>
          <w:szCs w:val="18"/>
          <w:lang w:eastAsia="zh-CN"/>
        </w:rPr>
        <w:t xml:space="preserve">图1  农业机械示意图（居中、小五、楷体） </w:t>
      </w:r>
    </w:p>
    <w:p w14:paraId="11FC69A8">
      <w:pPr>
        <w:spacing w:line="288" w:lineRule="auto"/>
        <w:jc w:val="center"/>
        <w:rPr>
          <w:rFonts w:eastAsia="楷体"/>
          <w:sz w:val="18"/>
          <w:szCs w:val="18"/>
          <w:lang w:eastAsia="zh-CN"/>
        </w:rPr>
      </w:pPr>
      <w:r>
        <w:rPr>
          <w:rFonts w:eastAsia="楷体"/>
          <w:sz w:val="18"/>
          <w:szCs w:val="18"/>
          <w:lang w:eastAsia="zh-CN"/>
        </w:rPr>
        <w:t xml:space="preserve">Fig. 1  Agricultural machinery schematic </w:t>
      </w:r>
      <w:r>
        <w:rPr>
          <w:sz w:val="18"/>
          <w:szCs w:val="18"/>
        </w:rPr>
        <w:t>（居中</w:t>
      </w:r>
      <w:r>
        <w:rPr>
          <w:sz w:val="18"/>
          <w:szCs w:val="18"/>
          <w:lang w:eastAsia="zh-CN"/>
        </w:rPr>
        <w:t>，</w:t>
      </w:r>
      <w:r>
        <w:rPr>
          <w:sz w:val="18"/>
          <w:szCs w:val="18"/>
        </w:rPr>
        <w:t>小五</w:t>
      </w:r>
      <w:r>
        <w:rPr>
          <w:sz w:val="18"/>
          <w:szCs w:val="18"/>
          <w:lang w:eastAsia="zh-CN"/>
        </w:rPr>
        <w:t>，</w:t>
      </w:r>
      <w:r>
        <w:rPr>
          <w:sz w:val="18"/>
          <w:szCs w:val="18"/>
        </w:rPr>
        <w:t>Times New Roman）</w:t>
      </w:r>
    </w:p>
    <w:p w14:paraId="1B6E0CDA">
      <w:pPr>
        <w:widowControl w:val="0"/>
        <w:spacing w:line="288" w:lineRule="auto"/>
        <w:ind w:firstLine="420" w:firstLineChars="200"/>
        <w:jc w:val="both"/>
        <w:rPr>
          <w:bCs/>
          <w:sz w:val="21"/>
          <w:szCs w:val="21"/>
          <w:lang w:eastAsia="zh-CN"/>
        </w:rPr>
      </w:pPr>
      <w:r>
        <w:rPr>
          <w:bCs/>
          <w:sz w:val="21"/>
          <w:szCs w:val="21"/>
          <w:lang w:eastAsia="zh-CN"/>
        </w:rPr>
        <w:t>彩色插图的比例尺、图例说明、地名要用黑色；河流、湖泊、海洋要用蓝色表示（注记用斜体字）。大面积的图斑尽量用浅色。文字与底色的色彩差异要大，以保证文字醒目。</w:t>
      </w:r>
    </w:p>
    <w:p w14:paraId="67EFD139">
      <w:pPr>
        <w:widowControl w:val="0"/>
        <w:spacing w:line="288" w:lineRule="auto"/>
        <w:ind w:firstLine="420" w:firstLineChars="200"/>
        <w:jc w:val="both"/>
        <w:rPr>
          <w:bCs/>
          <w:sz w:val="21"/>
          <w:szCs w:val="21"/>
          <w:lang w:eastAsia="zh-CN"/>
        </w:rPr>
      </w:pPr>
      <w:r>
        <w:rPr>
          <w:bCs/>
          <w:sz w:val="21"/>
          <w:szCs w:val="21"/>
          <w:lang w:eastAsia="zh-CN"/>
        </w:rPr>
        <w:t>坐标图用直角坐标图，应标明坐标名及其国际单位。图中变量名与单位之间用“/”分隔，格式为“说明/计量单位”，复合单位采用指数积形式。坐标轴刻度向内。纵坐标的说明应竖排字头向左。柱状图不要</w:t>
      </w:r>
      <w:r>
        <w:rPr>
          <w:rFonts w:hint="eastAsia"/>
          <w:bCs/>
          <w:sz w:val="21"/>
          <w:szCs w:val="21"/>
          <w:lang w:eastAsia="zh-CN"/>
        </w:rPr>
        <w:t>绘</w:t>
      </w:r>
      <w:r>
        <w:rPr>
          <w:bCs/>
          <w:sz w:val="21"/>
          <w:szCs w:val="21"/>
          <w:lang w:eastAsia="zh-CN"/>
        </w:rPr>
        <w:t>成立体的，用平面的可以更准确直观地反映量值。坐标图无需加网格线。图中不要留底色，不要采用各种背景颜色。趋势图需在图中注明趋势线的数学表达式和相关系数（</w:t>
      </w:r>
      <w:r>
        <w:rPr>
          <w:bCs/>
          <w:i/>
          <w:iCs/>
          <w:sz w:val="21"/>
          <w:szCs w:val="21"/>
          <w:lang w:eastAsia="zh-CN"/>
        </w:rPr>
        <w:t>r</w:t>
      </w:r>
      <w:r>
        <w:rPr>
          <w:bCs/>
          <w:sz w:val="21"/>
          <w:szCs w:val="21"/>
          <w:lang w:eastAsia="zh-CN"/>
        </w:rPr>
        <w:t>）或决定系数（</w:t>
      </w:r>
      <w:r>
        <w:rPr>
          <w:bCs/>
          <w:i/>
          <w:iCs/>
          <w:sz w:val="21"/>
          <w:szCs w:val="21"/>
          <w:lang w:eastAsia="zh-CN"/>
        </w:rPr>
        <w:t>R</w:t>
      </w:r>
      <w:r>
        <w:rPr>
          <w:bCs/>
          <w:sz w:val="21"/>
          <w:szCs w:val="21"/>
          <w:vertAlign w:val="superscript"/>
          <w:lang w:eastAsia="zh-CN"/>
        </w:rPr>
        <w:t>2</w:t>
      </w:r>
      <w:r>
        <w:rPr>
          <w:bCs/>
          <w:sz w:val="21"/>
          <w:szCs w:val="21"/>
          <w:lang w:eastAsia="zh-CN"/>
        </w:rPr>
        <w:t>）。</w:t>
      </w:r>
    </w:p>
    <w:p w14:paraId="763A633A">
      <w:pPr>
        <w:widowControl w:val="0"/>
        <w:spacing w:line="288" w:lineRule="auto"/>
        <w:ind w:firstLine="420" w:firstLineChars="200"/>
        <w:jc w:val="both"/>
        <w:rPr>
          <w:bCs/>
          <w:sz w:val="21"/>
          <w:szCs w:val="21"/>
          <w:lang w:eastAsia="zh-CN"/>
        </w:rPr>
      </w:pPr>
    </w:p>
    <w:p w14:paraId="38FD9B03">
      <w:pPr>
        <w:widowControl w:val="0"/>
        <w:spacing w:line="288" w:lineRule="auto"/>
        <w:jc w:val="center"/>
        <w:rPr>
          <w:bCs/>
          <w:sz w:val="21"/>
          <w:szCs w:val="21"/>
          <w:lang w:eastAsia="zh-CN"/>
        </w:rPr>
      </w:pPr>
      <w:r>
        <w:rPr>
          <w:lang w:eastAsia="zh-CN"/>
        </w:rPr>
        <w:drawing>
          <wp:inline distT="0" distB="0" distL="0" distR="0">
            <wp:extent cx="2598420" cy="1409700"/>
            <wp:effectExtent l="0" t="0" r="11430" b="19050"/>
            <wp:docPr id="2"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74308E24">
      <w:pPr>
        <w:widowControl w:val="0"/>
        <w:spacing w:line="288" w:lineRule="auto"/>
        <w:ind w:firstLine="360" w:firstLineChars="200"/>
        <w:jc w:val="center"/>
        <w:rPr>
          <w:rFonts w:eastAsia="楷体"/>
          <w:sz w:val="18"/>
          <w:szCs w:val="18"/>
          <w:lang w:eastAsia="zh-CN"/>
        </w:rPr>
      </w:pPr>
      <w:r>
        <w:rPr>
          <w:rFonts w:eastAsia="楷体"/>
          <w:sz w:val="18"/>
          <w:szCs w:val="18"/>
          <w:lang w:eastAsia="zh-CN"/>
        </w:rPr>
        <w:t>图2  坐标图</w:t>
      </w:r>
    </w:p>
    <w:p w14:paraId="05C9E2EF">
      <w:pPr>
        <w:widowControl w:val="0"/>
        <w:spacing w:line="288" w:lineRule="auto"/>
        <w:ind w:firstLine="360" w:firstLineChars="200"/>
        <w:jc w:val="center"/>
        <w:rPr>
          <w:bCs/>
          <w:sz w:val="21"/>
          <w:szCs w:val="21"/>
          <w:lang w:eastAsia="zh-CN"/>
        </w:rPr>
      </w:pPr>
      <w:r>
        <w:rPr>
          <w:rFonts w:eastAsia="楷体"/>
          <w:sz w:val="18"/>
          <w:szCs w:val="18"/>
          <w:lang w:eastAsia="zh-CN"/>
        </w:rPr>
        <w:t>Fig. 2  Coordinate chart</w:t>
      </w:r>
    </w:p>
    <w:p w14:paraId="2D139503">
      <w:pPr>
        <w:widowControl w:val="0"/>
        <w:spacing w:line="288" w:lineRule="auto"/>
        <w:ind w:firstLine="420" w:firstLineChars="200"/>
        <w:jc w:val="both"/>
        <w:rPr>
          <w:bCs/>
          <w:sz w:val="21"/>
          <w:szCs w:val="21"/>
          <w:lang w:eastAsia="zh-CN"/>
        </w:rPr>
      </w:pPr>
    </w:p>
    <w:p w14:paraId="634851AE">
      <w:pPr>
        <w:widowControl w:val="0"/>
        <w:spacing w:line="288" w:lineRule="auto"/>
        <w:ind w:firstLine="420" w:firstLineChars="200"/>
        <w:jc w:val="both"/>
        <w:rPr>
          <w:bCs/>
          <w:sz w:val="21"/>
          <w:szCs w:val="21"/>
          <w:lang w:eastAsia="zh-CN"/>
        </w:rPr>
      </w:pPr>
      <w:r>
        <w:rPr>
          <w:bCs/>
          <w:sz w:val="21"/>
          <w:szCs w:val="21"/>
          <w:lang w:eastAsia="zh-CN"/>
        </w:rPr>
        <w:t>为保证稿件的出版质量，请作者按照以上要求对图件进行修改并提供可编辑的图文件（图格式不限，图中文字可以修改即可），最好为矢量图（AI、EPS格式为佳，tif没有图层不要提供）。若用Excel制的图直接提供Excel原数据即可，若是ArcGIS制作的图，直接导出AI文件。</w:t>
      </w:r>
    </w:p>
    <w:p w14:paraId="687265E3">
      <w:pPr>
        <w:tabs>
          <w:tab w:val="left" w:pos="468"/>
        </w:tabs>
        <w:adjustRightInd w:val="0"/>
        <w:spacing w:before="120" w:beforeLines="50" w:after="120" w:afterLines="50" w:line="288" w:lineRule="auto"/>
        <w:jc w:val="both"/>
        <w:rPr>
          <w:rFonts w:eastAsia="黑体"/>
          <w:bCs/>
          <w:lang w:eastAsia="zh-CN"/>
        </w:rPr>
      </w:pPr>
      <w:r>
        <w:rPr>
          <w:rFonts w:eastAsia="黑体"/>
          <w:bCs/>
          <w:lang w:eastAsia="zh-CN"/>
        </w:rPr>
        <w:t>2.2 表格说明</w:t>
      </w:r>
    </w:p>
    <w:p w14:paraId="07BBA1F7">
      <w:pPr>
        <w:widowControl w:val="0"/>
        <w:spacing w:line="288" w:lineRule="auto"/>
        <w:ind w:firstLine="420" w:firstLineChars="200"/>
        <w:jc w:val="both"/>
        <w:rPr>
          <w:bCs/>
          <w:sz w:val="21"/>
          <w:szCs w:val="21"/>
          <w:lang w:eastAsia="zh-CN"/>
        </w:rPr>
      </w:pPr>
      <w:r>
        <w:rPr>
          <w:sz w:val="21"/>
          <w:szCs w:val="21"/>
          <w:lang w:eastAsia="zh-CN"/>
        </w:rPr>
        <w:t>正文中的表用三线表，表头中尽量使用“量符号/计量单位”。表格居中。表中数字按三位分节法排，表随文尽量排在一页。</w:t>
      </w:r>
      <w:bookmarkStart w:id="4" w:name="_Hlk528152863"/>
      <w:r>
        <w:rPr>
          <w:bCs/>
          <w:sz w:val="21"/>
          <w:szCs w:val="21"/>
          <w:lang w:eastAsia="zh-CN"/>
        </w:rPr>
        <w:t>表应有以阿拉伯数字连续编号的表序（如仅有1个表，表序可定名为</w:t>
      </w:r>
      <w:r>
        <w:rPr>
          <w:rFonts w:hint="eastAsia"/>
          <w:bCs/>
          <w:sz w:val="21"/>
          <w:szCs w:val="21"/>
          <w:lang w:eastAsia="zh-CN"/>
        </w:rPr>
        <w:t>“</w:t>
      </w:r>
      <w:r>
        <w:rPr>
          <w:bCs/>
          <w:sz w:val="21"/>
          <w:szCs w:val="21"/>
          <w:lang w:eastAsia="zh-CN"/>
        </w:rPr>
        <w:t>表1</w:t>
      </w:r>
      <w:r>
        <w:rPr>
          <w:rFonts w:hint="eastAsia"/>
          <w:bCs/>
          <w:sz w:val="21"/>
          <w:szCs w:val="21"/>
          <w:lang w:eastAsia="zh-CN"/>
        </w:rPr>
        <w:t>”</w:t>
      </w:r>
      <w:r>
        <w:rPr>
          <w:bCs/>
          <w:sz w:val="21"/>
          <w:szCs w:val="21"/>
          <w:lang w:eastAsia="zh-CN"/>
        </w:rPr>
        <w:t>）和简明的表题。</w:t>
      </w:r>
      <w:bookmarkEnd w:id="4"/>
      <w:r>
        <w:rPr>
          <w:bCs/>
          <w:sz w:val="21"/>
          <w:szCs w:val="21"/>
          <w:lang w:eastAsia="zh-CN"/>
        </w:rPr>
        <w:t>表序和表题间空1个字距，居中放在表的上方，有相应的英文表题。</w:t>
      </w:r>
      <w:r>
        <w:rPr>
          <w:rFonts w:hint="eastAsia"/>
          <w:bCs/>
          <w:sz w:val="21"/>
          <w:szCs w:val="21"/>
          <w:lang w:eastAsia="zh-CN"/>
        </w:rPr>
        <w:t>表头不能有空白表格。</w:t>
      </w:r>
    </w:p>
    <w:p w14:paraId="444134CE">
      <w:pPr>
        <w:spacing w:line="288" w:lineRule="auto"/>
        <w:jc w:val="center"/>
        <w:rPr>
          <w:rFonts w:eastAsia="黑体"/>
          <w:sz w:val="18"/>
          <w:szCs w:val="18"/>
          <w:lang w:eastAsia="zh-CN"/>
        </w:rPr>
      </w:pPr>
      <w:r>
        <w:rPr>
          <w:rFonts w:eastAsia="黑体"/>
          <w:sz w:val="18"/>
          <w:szCs w:val="18"/>
          <w:lang w:eastAsia="zh-CN"/>
        </w:rPr>
        <w:t>表1  表题名（黑体，小五，居中）</w:t>
      </w:r>
    </w:p>
    <w:p w14:paraId="1493A5E5">
      <w:pPr>
        <w:spacing w:line="288" w:lineRule="auto"/>
        <w:jc w:val="center"/>
        <w:rPr>
          <w:sz w:val="18"/>
          <w:szCs w:val="18"/>
        </w:rPr>
      </w:pPr>
      <w:r>
        <w:rPr>
          <w:sz w:val="18"/>
          <w:szCs w:val="18"/>
        </w:rPr>
        <w:t>Table 1</w:t>
      </w:r>
      <w:r>
        <w:rPr>
          <w:sz w:val="18"/>
          <w:szCs w:val="18"/>
          <w:lang w:eastAsia="zh-CN"/>
        </w:rPr>
        <w:t xml:space="preserve"> </w:t>
      </w:r>
      <w:r>
        <w:rPr>
          <w:sz w:val="18"/>
          <w:szCs w:val="18"/>
        </w:rPr>
        <w:t xml:space="preserve"> </w:t>
      </w:r>
      <w:r>
        <w:rPr>
          <w:sz w:val="18"/>
          <w:szCs w:val="18"/>
          <w:lang w:eastAsia="zh-CN"/>
        </w:rPr>
        <w:t>Table</w:t>
      </w:r>
      <w:r>
        <w:rPr>
          <w:sz w:val="18"/>
          <w:szCs w:val="18"/>
        </w:rPr>
        <w:t xml:space="preserve"> </w:t>
      </w:r>
      <w:r>
        <w:rPr>
          <w:sz w:val="18"/>
          <w:szCs w:val="18"/>
          <w:lang w:eastAsia="zh-CN"/>
        </w:rPr>
        <w:t xml:space="preserve">title </w:t>
      </w:r>
      <w:r>
        <w:rPr>
          <w:sz w:val="18"/>
          <w:szCs w:val="18"/>
        </w:rPr>
        <w:t>（Times New Roman</w:t>
      </w:r>
      <w:r>
        <w:rPr>
          <w:sz w:val="18"/>
          <w:szCs w:val="18"/>
          <w:lang w:eastAsia="zh-CN"/>
        </w:rPr>
        <w:t>，</w:t>
      </w:r>
      <w:r>
        <w:rPr>
          <w:sz w:val="18"/>
          <w:szCs w:val="18"/>
        </w:rPr>
        <w:t>小五</w:t>
      </w:r>
      <w:r>
        <w:rPr>
          <w:sz w:val="18"/>
          <w:szCs w:val="18"/>
          <w:lang w:eastAsia="zh-CN"/>
        </w:rPr>
        <w:t>，</w:t>
      </w:r>
      <w:r>
        <w:rPr>
          <w:sz w:val="18"/>
          <w:szCs w:val="18"/>
        </w:rPr>
        <w:t>居中）</w:t>
      </w:r>
    </w:p>
    <w:tbl>
      <w:tblPr>
        <w:tblStyle w:val="19"/>
        <w:tblW w:w="0" w:type="auto"/>
        <w:jc w:val="center"/>
        <w:tblLayout w:type="autofit"/>
        <w:tblCellMar>
          <w:top w:w="0" w:type="dxa"/>
          <w:left w:w="108" w:type="dxa"/>
          <w:bottom w:w="0" w:type="dxa"/>
          <w:right w:w="108" w:type="dxa"/>
        </w:tblCellMar>
      </w:tblPr>
      <w:tblGrid>
        <w:gridCol w:w="1629"/>
        <w:gridCol w:w="1630"/>
        <w:gridCol w:w="1630"/>
      </w:tblGrid>
      <w:tr w14:paraId="24484D53">
        <w:tblPrEx>
          <w:tblCellMar>
            <w:top w:w="0" w:type="dxa"/>
            <w:left w:w="108" w:type="dxa"/>
            <w:bottom w:w="0" w:type="dxa"/>
            <w:right w:w="108" w:type="dxa"/>
          </w:tblCellMar>
        </w:tblPrEx>
        <w:trPr>
          <w:trHeight w:val="340" w:hRule="atLeast"/>
          <w:jc w:val="center"/>
        </w:trPr>
        <w:tc>
          <w:tcPr>
            <w:tcW w:w="1629" w:type="dxa"/>
            <w:tcBorders>
              <w:top w:val="single" w:color="auto" w:sz="4" w:space="0"/>
              <w:bottom w:val="single" w:color="auto" w:sz="2" w:space="0"/>
            </w:tcBorders>
            <w:shd w:val="clear" w:color="auto" w:fill="auto"/>
            <w:tcMar>
              <w:left w:w="0" w:type="dxa"/>
              <w:right w:w="0" w:type="dxa"/>
            </w:tcMar>
            <w:vAlign w:val="center"/>
          </w:tcPr>
          <w:p w14:paraId="7F4FFA9C">
            <w:pPr>
              <w:adjustRightInd w:val="0"/>
              <w:rPr>
                <w:sz w:val="15"/>
                <w:szCs w:val="15"/>
                <w:lang w:eastAsia="zh-CN"/>
              </w:rPr>
            </w:pPr>
            <w:r>
              <w:rPr>
                <w:sz w:val="15"/>
                <w:szCs w:val="15"/>
                <w:lang w:eastAsia="zh-CN"/>
              </w:rPr>
              <w:t>宋体</w:t>
            </w:r>
            <w:r>
              <w:rPr>
                <w:rFonts w:hint="eastAsia"/>
                <w:sz w:val="15"/>
                <w:szCs w:val="15"/>
                <w:lang w:eastAsia="zh-CN"/>
              </w:rPr>
              <w:t>六号</w:t>
            </w:r>
          </w:p>
        </w:tc>
        <w:tc>
          <w:tcPr>
            <w:tcW w:w="1630" w:type="dxa"/>
            <w:tcBorders>
              <w:top w:val="single" w:color="auto" w:sz="4" w:space="0"/>
              <w:bottom w:val="single" w:color="auto" w:sz="2" w:space="0"/>
            </w:tcBorders>
            <w:shd w:val="clear" w:color="auto" w:fill="auto"/>
            <w:tcMar>
              <w:left w:w="0" w:type="dxa"/>
              <w:right w:w="0" w:type="dxa"/>
            </w:tcMar>
            <w:vAlign w:val="center"/>
          </w:tcPr>
          <w:p w14:paraId="3A4E2A42">
            <w:pPr>
              <w:adjustRightInd w:val="0"/>
              <w:jc w:val="center"/>
              <w:rPr>
                <w:sz w:val="15"/>
                <w:szCs w:val="15"/>
              </w:rPr>
            </w:pPr>
            <w:r>
              <w:rPr>
                <w:sz w:val="15"/>
                <w:szCs w:val="15"/>
                <w:lang w:eastAsia="zh-CN"/>
              </w:rPr>
              <w:t>Times New Roman</w:t>
            </w:r>
          </w:p>
        </w:tc>
        <w:tc>
          <w:tcPr>
            <w:tcW w:w="1630" w:type="dxa"/>
            <w:tcBorders>
              <w:top w:val="single" w:color="auto" w:sz="4" w:space="0"/>
              <w:bottom w:val="single" w:color="auto" w:sz="2" w:space="0"/>
            </w:tcBorders>
            <w:shd w:val="clear" w:color="auto" w:fill="auto"/>
            <w:tcMar>
              <w:left w:w="0" w:type="dxa"/>
              <w:right w:w="0" w:type="dxa"/>
            </w:tcMar>
            <w:vAlign w:val="center"/>
          </w:tcPr>
          <w:p w14:paraId="63B7FBEB">
            <w:pPr>
              <w:adjustRightInd w:val="0"/>
              <w:jc w:val="center"/>
              <w:rPr>
                <w:sz w:val="15"/>
                <w:szCs w:val="15"/>
              </w:rPr>
            </w:pPr>
            <w:r>
              <w:rPr>
                <w:sz w:val="15"/>
                <w:szCs w:val="15"/>
                <w:lang w:eastAsia="zh-CN"/>
              </w:rPr>
              <w:t>xxxxxx</w:t>
            </w:r>
          </w:p>
        </w:tc>
      </w:tr>
      <w:tr w14:paraId="0AD9AE5D">
        <w:tblPrEx>
          <w:tblCellMar>
            <w:top w:w="0" w:type="dxa"/>
            <w:left w:w="108" w:type="dxa"/>
            <w:bottom w:w="0" w:type="dxa"/>
            <w:right w:w="108" w:type="dxa"/>
          </w:tblCellMar>
        </w:tblPrEx>
        <w:trPr>
          <w:trHeight w:val="255" w:hRule="atLeast"/>
          <w:jc w:val="center"/>
        </w:trPr>
        <w:tc>
          <w:tcPr>
            <w:tcW w:w="1629" w:type="dxa"/>
            <w:tcBorders>
              <w:top w:val="single" w:color="auto" w:sz="2" w:space="0"/>
            </w:tcBorders>
            <w:shd w:val="clear" w:color="auto" w:fill="auto"/>
            <w:tcMar>
              <w:left w:w="0" w:type="dxa"/>
              <w:right w:w="0" w:type="dxa"/>
            </w:tcMar>
            <w:vAlign w:val="center"/>
          </w:tcPr>
          <w:p w14:paraId="04CB32A9">
            <w:pPr>
              <w:adjustRightInd w:val="0"/>
              <w:jc w:val="center"/>
              <w:rPr>
                <w:sz w:val="15"/>
                <w:szCs w:val="15"/>
              </w:rPr>
            </w:pPr>
            <w:r>
              <w:rPr>
                <w:sz w:val="15"/>
                <w:szCs w:val="15"/>
                <w:lang w:eastAsia="zh-CN"/>
              </w:rPr>
              <w:t>xxxxxx</w:t>
            </w:r>
          </w:p>
        </w:tc>
        <w:tc>
          <w:tcPr>
            <w:tcW w:w="1630" w:type="dxa"/>
            <w:tcBorders>
              <w:top w:val="single" w:color="auto" w:sz="2" w:space="0"/>
            </w:tcBorders>
            <w:shd w:val="clear" w:color="auto" w:fill="auto"/>
            <w:tcMar>
              <w:left w:w="0" w:type="dxa"/>
              <w:right w:w="0" w:type="dxa"/>
            </w:tcMar>
            <w:vAlign w:val="center"/>
          </w:tcPr>
          <w:p w14:paraId="02633824">
            <w:pPr>
              <w:adjustRightInd w:val="0"/>
              <w:jc w:val="center"/>
              <w:rPr>
                <w:sz w:val="15"/>
                <w:szCs w:val="15"/>
              </w:rPr>
            </w:pPr>
            <w:r>
              <w:rPr>
                <w:sz w:val="15"/>
                <w:szCs w:val="15"/>
                <w:lang w:eastAsia="zh-CN"/>
              </w:rPr>
              <w:t>xxxxxx xxxxxx</w:t>
            </w:r>
          </w:p>
        </w:tc>
        <w:tc>
          <w:tcPr>
            <w:tcW w:w="1630" w:type="dxa"/>
            <w:tcBorders>
              <w:top w:val="single" w:color="auto" w:sz="2" w:space="0"/>
            </w:tcBorders>
            <w:shd w:val="clear" w:color="auto" w:fill="auto"/>
            <w:tcMar>
              <w:left w:w="0" w:type="dxa"/>
              <w:right w:w="0" w:type="dxa"/>
            </w:tcMar>
            <w:vAlign w:val="center"/>
          </w:tcPr>
          <w:p w14:paraId="336D8024">
            <w:pPr>
              <w:adjustRightInd w:val="0"/>
              <w:jc w:val="center"/>
              <w:rPr>
                <w:sz w:val="15"/>
                <w:szCs w:val="15"/>
              </w:rPr>
            </w:pPr>
            <w:r>
              <w:rPr>
                <w:sz w:val="15"/>
                <w:szCs w:val="15"/>
                <w:lang w:eastAsia="zh-CN"/>
              </w:rPr>
              <w:t>xxxxxx</w:t>
            </w:r>
          </w:p>
        </w:tc>
      </w:tr>
      <w:tr w14:paraId="2E73FB68">
        <w:tblPrEx>
          <w:tblCellMar>
            <w:top w:w="0" w:type="dxa"/>
            <w:left w:w="108" w:type="dxa"/>
            <w:bottom w:w="0" w:type="dxa"/>
            <w:right w:w="108" w:type="dxa"/>
          </w:tblCellMar>
        </w:tblPrEx>
        <w:trPr>
          <w:trHeight w:val="255" w:hRule="atLeast"/>
          <w:jc w:val="center"/>
        </w:trPr>
        <w:tc>
          <w:tcPr>
            <w:tcW w:w="1629" w:type="dxa"/>
            <w:shd w:val="clear" w:color="auto" w:fill="auto"/>
            <w:tcMar>
              <w:left w:w="0" w:type="dxa"/>
              <w:right w:w="0" w:type="dxa"/>
            </w:tcMar>
            <w:vAlign w:val="center"/>
          </w:tcPr>
          <w:p w14:paraId="5C02E2A0">
            <w:pPr>
              <w:adjustRightInd w:val="0"/>
              <w:jc w:val="center"/>
              <w:rPr>
                <w:sz w:val="15"/>
                <w:szCs w:val="15"/>
              </w:rPr>
            </w:pPr>
            <w:r>
              <w:rPr>
                <w:sz w:val="15"/>
                <w:szCs w:val="15"/>
                <w:lang w:eastAsia="zh-CN"/>
              </w:rPr>
              <w:t>xxxxxx</w:t>
            </w:r>
          </w:p>
        </w:tc>
        <w:tc>
          <w:tcPr>
            <w:tcW w:w="1630" w:type="dxa"/>
            <w:shd w:val="clear" w:color="auto" w:fill="auto"/>
            <w:tcMar>
              <w:left w:w="0" w:type="dxa"/>
              <w:right w:w="0" w:type="dxa"/>
            </w:tcMar>
            <w:vAlign w:val="center"/>
          </w:tcPr>
          <w:p w14:paraId="75BD00D8">
            <w:pPr>
              <w:adjustRightInd w:val="0"/>
              <w:jc w:val="center"/>
              <w:rPr>
                <w:sz w:val="15"/>
                <w:szCs w:val="15"/>
              </w:rPr>
            </w:pPr>
            <w:r>
              <w:rPr>
                <w:sz w:val="15"/>
                <w:szCs w:val="15"/>
                <w:lang w:eastAsia="zh-CN"/>
              </w:rPr>
              <w:t>xxxxxx xxxxxx</w:t>
            </w:r>
          </w:p>
        </w:tc>
        <w:tc>
          <w:tcPr>
            <w:tcW w:w="1630" w:type="dxa"/>
            <w:shd w:val="clear" w:color="auto" w:fill="auto"/>
            <w:tcMar>
              <w:left w:w="0" w:type="dxa"/>
              <w:right w:w="0" w:type="dxa"/>
            </w:tcMar>
            <w:vAlign w:val="center"/>
          </w:tcPr>
          <w:p w14:paraId="6ED64DCF">
            <w:pPr>
              <w:adjustRightInd w:val="0"/>
              <w:jc w:val="center"/>
              <w:rPr>
                <w:sz w:val="15"/>
                <w:szCs w:val="15"/>
              </w:rPr>
            </w:pPr>
            <w:r>
              <w:rPr>
                <w:sz w:val="15"/>
                <w:szCs w:val="15"/>
                <w:lang w:eastAsia="zh-CN"/>
              </w:rPr>
              <w:t>xxxxxx</w:t>
            </w:r>
          </w:p>
        </w:tc>
      </w:tr>
      <w:tr w14:paraId="5AED1B3B">
        <w:tblPrEx>
          <w:tblCellMar>
            <w:top w:w="0" w:type="dxa"/>
            <w:left w:w="108" w:type="dxa"/>
            <w:bottom w:w="0" w:type="dxa"/>
            <w:right w:w="108" w:type="dxa"/>
          </w:tblCellMar>
        </w:tblPrEx>
        <w:trPr>
          <w:trHeight w:val="255" w:hRule="atLeast"/>
          <w:jc w:val="center"/>
        </w:trPr>
        <w:tc>
          <w:tcPr>
            <w:tcW w:w="1629" w:type="dxa"/>
            <w:tcBorders>
              <w:bottom w:val="single" w:color="auto" w:sz="4" w:space="0"/>
            </w:tcBorders>
            <w:shd w:val="clear" w:color="auto" w:fill="auto"/>
            <w:tcMar>
              <w:left w:w="0" w:type="dxa"/>
              <w:right w:w="0" w:type="dxa"/>
            </w:tcMar>
            <w:vAlign w:val="center"/>
          </w:tcPr>
          <w:p w14:paraId="32808C57">
            <w:pPr>
              <w:adjustRightInd w:val="0"/>
              <w:jc w:val="center"/>
              <w:rPr>
                <w:sz w:val="15"/>
                <w:szCs w:val="15"/>
              </w:rPr>
            </w:pPr>
            <w:r>
              <w:rPr>
                <w:sz w:val="15"/>
                <w:szCs w:val="15"/>
                <w:lang w:eastAsia="zh-CN"/>
              </w:rPr>
              <w:t>xxxxxx</w:t>
            </w:r>
          </w:p>
        </w:tc>
        <w:tc>
          <w:tcPr>
            <w:tcW w:w="1630" w:type="dxa"/>
            <w:tcBorders>
              <w:bottom w:val="single" w:color="auto" w:sz="4" w:space="0"/>
            </w:tcBorders>
            <w:shd w:val="clear" w:color="auto" w:fill="auto"/>
            <w:tcMar>
              <w:left w:w="0" w:type="dxa"/>
              <w:right w:w="0" w:type="dxa"/>
            </w:tcMar>
            <w:vAlign w:val="center"/>
          </w:tcPr>
          <w:p w14:paraId="0894AAFE">
            <w:pPr>
              <w:adjustRightInd w:val="0"/>
              <w:jc w:val="center"/>
              <w:rPr>
                <w:sz w:val="15"/>
                <w:szCs w:val="15"/>
              </w:rPr>
            </w:pPr>
            <w:r>
              <w:rPr>
                <w:sz w:val="15"/>
                <w:szCs w:val="15"/>
                <w:lang w:eastAsia="zh-CN"/>
              </w:rPr>
              <w:t>xxxxxx xxxxxx</w:t>
            </w:r>
          </w:p>
        </w:tc>
        <w:tc>
          <w:tcPr>
            <w:tcW w:w="1630" w:type="dxa"/>
            <w:tcBorders>
              <w:bottom w:val="single" w:color="auto" w:sz="4" w:space="0"/>
            </w:tcBorders>
            <w:shd w:val="clear" w:color="auto" w:fill="auto"/>
            <w:tcMar>
              <w:left w:w="0" w:type="dxa"/>
              <w:right w:w="0" w:type="dxa"/>
            </w:tcMar>
            <w:vAlign w:val="center"/>
          </w:tcPr>
          <w:p w14:paraId="4A708D64">
            <w:pPr>
              <w:adjustRightInd w:val="0"/>
              <w:jc w:val="center"/>
              <w:rPr>
                <w:sz w:val="15"/>
                <w:szCs w:val="15"/>
              </w:rPr>
            </w:pPr>
            <w:r>
              <w:rPr>
                <w:sz w:val="15"/>
                <w:szCs w:val="15"/>
                <w:lang w:eastAsia="zh-CN"/>
              </w:rPr>
              <w:t>xxxxxx</w:t>
            </w:r>
          </w:p>
        </w:tc>
      </w:tr>
    </w:tbl>
    <w:p w14:paraId="553A8178">
      <w:pPr>
        <w:spacing w:line="264" w:lineRule="auto"/>
        <w:rPr>
          <w:sz w:val="15"/>
          <w:szCs w:val="15"/>
          <w:lang w:eastAsia="zh-CN"/>
        </w:rPr>
      </w:pPr>
      <w:r>
        <w:rPr>
          <w:sz w:val="15"/>
          <w:szCs w:val="15"/>
          <w:lang w:eastAsia="zh-CN"/>
        </w:rPr>
        <w:t>（表内均为</w:t>
      </w:r>
      <w:r>
        <w:rPr>
          <w:rFonts w:hint="eastAsia"/>
          <w:b/>
          <w:sz w:val="15"/>
          <w:szCs w:val="15"/>
          <w:lang w:eastAsia="zh-CN"/>
        </w:rPr>
        <w:t>六</w:t>
      </w:r>
      <w:r>
        <w:rPr>
          <w:b/>
          <w:sz w:val="15"/>
          <w:szCs w:val="15"/>
          <w:lang w:eastAsia="zh-CN"/>
        </w:rPr>
        <w:t>号宋体，Times New Roman，采用国际通用的三线表，行距12磅</w:t>
      </w:r>
      <w:r>
        <w:rPr>
          <w:sz w:val="15"/>
          <w:szCs w:val="15"/>
          <w:lang w:eastAsia="zh-CN"/>
        </w:rPr>
        <w:t>）</w:t>
      </w:r>
    </w:p>
    <w:p w14:paraId="4085CD08">
      <w:pPr>
        <w:spacing w:line="264" w:lineRule="auto"/>
        <w:rPr>
          <w:sz w:val="15"/>
          <w:szCs w:val="15"/>
        </w:rPr>
      </w:pPr>
      <w:r>
        <w:rPr>
          <w:sz w:val="15"/>
          <w:szCs w:val="15"/>
        </w:rPr>
        <w:t>表注（注：字号六号宋体</w:t>
      </w:r>
      <w:r>
        <w:rPr>
          <w:sz w:val="15"/>
          <w:szCs w:val="15"/>
          <w:lang w:eastAsia="zh-CN"/>
        </w:rPr>
        <w:t>，</w:t>
      </w:r>
      <w:r>
        <w:rPr>
          <w:sz w:val="15"/>
          <w:szCs w:val="15"/>
        </w:rPr>
        <w:t>Times New Roman）</w:t>
      </w:r>
    </w:p>
    <w:p w14:paraId="68179015">
      <w:pPr>
        <w:tabs>
          <w:tab w:val="left" w:pos="468"/>
        </w:tabs>
        <w:adjustRightInd w:val="0"/>
        <w:spacing w:line="288" w:lineRule="auto"/>
        <w:jc w:val="both"/>
        <w:rPr>
          <w:rFonts w:eastAsia="黑体"/>
          <w:bCs/>
          <w:sz w:val="20"/>
          <w:szCs w:val="20"/>
          <w:lang w:eastAsia="zh-CN"/>
        </w:rPr>
      </w:pPr>
    </w:p>
    <w:p w14:paraId="6AFF7036">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3  量和单位</w:t>
      </w:r>
    </w:p>
    <w:p w14:paraId="6480A7C0">
      <w:pPr>
        <w:spacing w:line="288" w:lineRule="auto"/>
        <w:ind w:firstLine="420" w:firstLineChars="200"/>
        <w:jc w:val="both"/>
        <w:rPr>
          <w:bCs/>
          <w:sz w:val="21"/>
          <w:szCs w:val="21"/>
          <w:lang w:eastAsia="zh-CN"/>
        </w:rPr>
      </w:pPr>
      <w:bookmarkStart w:id="5" w:name="_Hlk528153645"/>
      <w:r>
        <w:rPr>
          <w:bCs/>
          <w:sz w:val="21"/>
          <w:szCs w:val="21"/>
          <w:lang w:eastAsia="zh-CN"/>
        </w:rPr>
        <w:t>本刊将使用国家标准规定使用的单位符号，不再使用</w:t>
      </w:r>
      <w:r>
        <w:rPr>
          <w:rFonts w:hint="eastAsia"/>
          <w:bCs/>
          <w:sz w:val="21"/>
          <w:szCs w:val="21"/>
          <w:lang w:eastAsia="zh-CN"/>
        </w:rPr>
        <w:t>中文名称单位。应严格执行</w:t>
      </w:r>
      <w:r>
        <w:rPr>
          <w:bCs/>
          <w:sz w:val="21"/>
          <w:szCs w:val="21"/>
          <w:lang w:eastAsia="zh-CN"/>
        </w:rPr>
        <w:t>GB3100－3102</w:t>
      </w:r>
      <w:r>
        <w:rPr>
          <w:rFonts w:hint="eastAsia"/>
          <w:bCs/>
          <w:sz w:val="21"/>
          <w:szCs w:val="21"/>
          <w:lang w:eastAsia="zh-CN"/>
        </w:rPr>
        <w:t>－</w:t>
      </w:r>
      <w:r>
        <w:rPr>
          <w:bCs/>
          <w:sz w:val="21"/>
          <w:szCs w:val="21"/>
          <w:lang w:eastAsia="zh-CN"/>
        </w:rPr>
        <w:t>93</w:t>
      </w:r>
      <w:r>
        <w:rPr>
          <w:rFonts w:hint="eastAsia"/>
          <w:bCs/>
          <w:sz w:val="21"/>
          <w:szCs w:val="21"/>
          <w:lang w:eastAsia="zh-CN"/>
        </w:rPr>
        <w:t>规定的量和单位的名称、符号和书写规则。量的符号一般为单个拉丁字母和希腊字母，为区别不同情况，可在量符号上附加角标。单位符号与数值间留半字符空格，不对单位符号进行修饰。变量使用斜体，常量和单位使用正体。</w:t>
      </w:r>
      <w:r>
        <w:rPr>
          <w:bCs/>
          <w:sz w:val="21"/>
          <w:szCs w:val="21"/>
          <w:lang w:eastAsia="zh-CN"/>
        </w:rPr>
        <w:t>具体要求如下：</w:t>
      </w:r>
    </w:p>
    <w:p w14:paraId="36B04C63">
      <w:pPr>
        <w:spacing w:line="288" w:lineRule="auto"/>
        <w:ind w:firstLine="420" w:firstLineChars="200"/>
        <w:rPr>
          <w:sz w:val="21"/>
          <w:szCs w:val="21"/>
          <w:lang w:eastAsia="zh-CN"/>
        </w:rPr>
      </w:pPr>
      <w:r>
        <w:rPr>
          <w:sz w:val="21"/>
          <w:szCs w:val="21"/>
          <w:lang w:eastAsia="zh-CN"/>
        </w:rPr>
        <w:t>常用长度单位：km（公里），m（米），cm（厘米），mm（毫米）</w:t>
      </w:r>
    </w:p>
    <w:p w14:paraId="246F516D">
      <w:pPr>
        <w:spacing w:line="288" w:lineRule="auto"/>
        <w:ind w:firstLine="420" w:firstLineChars="200"/>
        <w:rPr>
          <w:sz w:val="21"/>
          <w:szCs w:val="21"/>
          <w:lang w:eastAsia="zh-CN"/>
        </w:rPr>
      </w:pPr>
      <w:r>
        <w:rPr>
          <w:sz w:val="21"/>
          <w:szCs w:val="21"/>
          <w:lang w:eastAsia="zh-CN"/>
        </w:rPr>
        <w:t>常用面积单位：km</w:t>
      </w:r>
      <w:r>
        <w:rPr>
          <w:sz w:val="21"/>
          <w:szCs w:val="21"/>
          <w:vertAlign w:val="superscript"/>
          <w:lang w:eastAsia="zh-CN"/>
        </w:rPr>
        <w:t>2</w:t>
      </w:r>
      <w:r>
        <w:rPr>
          <w:sz w:val="21"/>
          <w:szCs w:val="21"/>
          <w:lang w:eastAsia="zh-CN"/>
        </w:rPr>
        <w:t>（平方公里），m</w:t>
      </w:r>
      <w:r>
        <w:rPr>
          <w:sz w:val="21"/>
          <w:szCs w:val="21"/>
          <w:vertAlign w:val="superscript"/>
          <w:lang w:eastAsia="zh-CN"/>
        </w:rPr>
        <w:t>2</w:t>
      </w:r>
      <w:r>
        <w:rPr>
          <w:sz w:val="21"/>
          <w:szCs w:val="21"/>
          <w:lang w:eastAsia="zh-CN"/>
        </w:rPr>
        <w:t>（平方米），cm</w:t>
      </w:r>
      <w:r>
        <w:rPr>
          <w:sz w:val="21"/>
          <w:szCs w:val="21"/>
          <w:vertAlign w:val="superscript"/>
          <w:lang w:eastAsia="zh-CN"/>
        </w:rPr>
        <w:t>2</w:t>
      </w:r>
      <w:r>
        <w:rPr>
          <w:sz w:val="21"/>
          <w:szCs w:val="21"/>
          <w:lang w:eastAsia="zh-CN"/>
        </w:rPr>
        <w:t>（平方厘米），mm</w:t>
      </w:r>
      <w:r>
        <w:rPr>
          <w:sz w:val="21"/>
          <w:szCs w:val="21"/>
          <w:vertAlign w:val="superscript"/>
          <w:lang w:eastAsia="zh-CN"/>
        </w:rPr>
        <w:t>2</w:t>
      </w:r>
      <w:r>
        <w:rPr>
          <w:sz w:val="21"/>
          <w:szCs w:val="21"/>
          <w:lang w:eastAsia="zh-CN"/>
        </w:rPr>
        <w:t>（平方毫米）</w:t>
      </w:r>
      <w:r>
        <w:rPr>
          <w:rFonts w:hint="eastAsia"/>
          <w:sz w:val="21"/>
          <w:szCs w:val="21"/>
          <w:lang w:eastAsia="zh-CN"/>
        </w:rPr>
        <w:t>，文中的亩、ppm等非国标应进行换算</w:t>
      </w:r>
    </w:p>
    <w:p w14:paraId="5D9385CF">
      <w:pPr>
        <w:spacing w:line="288" w:lineRule="auto"/>
        <w:ind w:firstLine="420" w:firstLineChars="200"/>
        <w:rPr>
          <w:sz w:val="21"/>
          <w:szCs w:val="21"/>
          <w:lang w:eastAsia="zh-CN"/>
        </w:rPr>
      </w:pPr>
      <w:r>
        <w:rPr>
          <w:sz w:val="21"/>
          <w:szCs w:val="21"/>
          <w:lang w:eastAsia="zh-CN"/>
        </w:rPr>
        <w:t>常用质量单位：t（吨），kg（公斤），g（克），mg（毫克）</w:t>
      </w:r>
    </w:p>
    <w:p w14:paraId="7F812D6A">
      <w:pPr>
        <w:spacing w:line="288" w:lineRule="auto"/>
        <w:ind w:firstLine="420" w:firstLineChars="200"/>
        <w:rPr>
          <w:sz w:val="21"/>
          <w:szCs w:val="21"/>
          <w:lang w:eastAsia="zh-CN"/>
        </w:rPr>
      </w:pPr>
      <w:r>
        <w:rPr>
          <w:sz w:val="21"/>
          <w:szCs w:val="21"/>
          <w:lang w:eastAsia="zh-CN"/>
        </w:rPr>
        <w:t>常用时间单位：d（日），h（小时），min（分），s（秒）</w:t>
      </w:r>
    </w:p>
    <w:p w14:paraId="19B825D5">
      <w:pPr>
        <w:spacing w:line="288" w:lineRule="auto"/>
        <w:ind w:firstLine="420" w:firstLineChars="200"/>
        <w:rPr>
          <w:sz w:val="21"/>
          <w:szCs w:val="21"/>
          <w:lang w:eastAsia="zh-CN"/>
        </w:rPr>
      </w:pPr>
      <w:r>
        <w:rPr>
          <w:sz w:val="21"/>
          <w:szCs w:val="21"/>
          <w:lang w:eastAsia="zh-CN"/>
        </w:rPr>
        <w:t>常用速度单位：km/h（公里/小时），m/h（米/小时)，m/s（米/秒）</w:t>
      </w:r>
    </w:p>
    <w:p w14:paraId="48902CA0">
      <w:pPr>
        <w:spacing w:line="288" w:lineRule="auto"/>
        <w:ind w:firstLine="420" w:firstLineChars="200"/>
        <w:rPr>
          <w:sz w:val="21"/>
          <w:szCs w:val="21"/>
          <w:lang w:eastAsia="zh-CN"/>
        </w:rPr>
      </w:pPr>
      <w:r>
        <w:rPr>
          <w:sz w:val="21"/>
          <w:szCs w:val="21"/>
          <w:lang w:eastAsia="zh-CN"/>
        </w:rPr>
        <w:t>常用频率单位：MHz（兆赫兹），Hz（赫兹）</w:t>
      </w:r>
    </w:p>
    <w:p w14:paraId="5E0CE491">
      <w:pPr>
        <w:spacing w:line="288" w:lineRule="auto"/>
        <w:ind w:firstLine="420" w:firstLineChars="200"/>
        <w:rPr>
          <w:sz w:val="21"/>
          <w:szCs w:val="21"/>
          <w:lang w:eastAsia="zh-CN"/>
        </w:rPr>
      </w:pPr>
      <w:r>
        <w:rPr>
          <w:sz w:val="21"/>
          <w:szCs w:val="21"/>
          <w:lang w:eastAsia="zh-CN"/>
        </w:rPr>
        <w:t>常用功率单位：kW（千瓦），W（瓦）</w:t>
      </w:r>
    </w:p>
    <w:p w14:paraId="2FA984D7">
      <w:pPr>
        <w:spacing w:line="288" w:lineRule="auto"/>
        <w:ind w:firstLine="420" w:firstLineChars="200"/>
        <w:rPr>
          <w:sz w:val="21"/>
          <w:szCs w:val="21"/>
          <w:lang w:eastAsia="zh-CN"/>
        </w:rPr>
      </w:pPr>
      <w:r>
        <w:rPr>
          <w:sz w:val="21"/>
          <w:szCs w:val="21"/>
          <w:lang w:eastAsia="zh-CN"/>
        </w:rPr>
        <w:t>常用温度单位：℃（摄氏度）</w:t>
      </w:r>
    </w:p>
    <w:p w14:paraId="1559F0BE">
      <w:pPr>
        <w:spacing w:line="288" w:lineRule="auto"/>
        <w:ind w:firstLine="420" w:firstLineChars="200"/>
        <w:rPr>
          <w:sz w:val="21"/>
          <w:szCs w:val="21"/>
          <w:lang w:eastAsia="zh-CN"/>
        </w:rPr>
      </w:pPr>
      <w:r>
        <w:rPr>
          <w:sz w:val="21"/>
          <w:szCs w:val="21"/>
          <w:lang w:eastAsia="zh-CN"/>
        </w:rPr>
        <w:t>斜体：下标为量符号、表示变量的符号和表示几何图形中心点、线、面、体的字母。其他情况用正体。</w:t>
      </w:r>
    </w:p>
    <w:bookmarkEnd w:id="5"/>
    <w:p w14:paraId="36756B30">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4公式及反应式</w:t>
      </w:r>
    </w:p>
    <w:p w14:paraId="519DD2D3">
      <w:pPr>
        <w:spacing w:line="288" w:lineRule="auto"/>
        <w:ind w:firstLine="420" w:firstLineChars="200"/>
        <w:rPr>
          <w:sz w:val="21"/>
          <w:szCs w:val="21"/>
          <w:lang w:eastAsia="zh-CN"/>
        </w:rPr>
      </w:pPr>
      <w:r>
        <w:rPr>
          <w:sz w:val="21"/>
          <w:szCs w:val="21"/>
          <w:lang w:eastAsia="zh-CN"/>
        </w:rPr>
        <w:t>文章提及的公式、反应式等另占一行，并用阿拉伯数字连续编号。正文中公式编号可用形式：（1），（2），（3），……序号加圆括号，右顶格排。一行未表达完需用2行或多行来表示时，涉及的各符号要紧靠，最好用一些比较关键的符号断开。各类式子应遵守有关规定，并注意应严格区别容易混淆的各种字母、符号。</w:t>
      </w:r>
      <w:r>
        <w:rPr>
          <w:rFonts w:hint="eastAsia"/>
          <w:sz w:val="21"/>
          <w:szCs w:val="21"/>
          <w:lang w:eastAsia="zh-CN"/>
        </w:rPr>
        <w:t>变量用斜体，矩阵和向量变量用斜体+粗体。</w:t>
      </w:r>
      <w:r>
        <w:rPr>
          <w:sz w:val="21"/>
          <w:szCs w:val="21"/>
          <w:lang w:eastAsia="zh-CN"/>
        </w:rPr>
        <w:t>公式之后对各符合进行解释，有计量单位的要写明。文中公式、定义、定理等分别全文统一编号。</w:t>
      </w:r>
      <w:r>
        <w:rPr>
          <w:rFonts w:hint="eastAsia"/>
          <w:sz w:val="21"/>
          <w:szCs w:val="21"/>
          <w:lang w:eastAsia="zh-CN"/>
        </w:rPr>
        <w:t>如：</w:t>
      </w:r>
    </w:p>
    <w:tbl>
      <w:tblPr>
        <w:tblStyle w:val="19"/>
        <w:tblW w:w="0" w:type="auto"/>
        <w:tblInd w:w="0" w:type="dxa"/>
        <w:tblLayout w:type="autofit"/>
        <w:tblCellMar>
          <w:top w:w="0" w:type="dxa"/>
          <w:left w:w="108" w:type="dxa"/>
          <w:bottom w:w="0" w:type="dxa"/>
          <w:right w:w="108" w:type="dxa"/>
        </w:tblCellMar>
      </w:tblPr>
      <w:tblGrid>
        <w:gridCol w:w="4644"/>
        <w:gridCol w:w="741"/>
      </w:tblGrid>
      <w:tr w14:paraId="31813786">
        <w:tblPrEx>
          <w:tblCellMar>
            <w:top w:w="0" w:type="dxa"/>
            <w:left w:w="108" w:type="dxa"/>
            <w:bottom w:w="0" w:type="dxa"/>
            <w:right w:w="108" w:type="dxa"/>
          </w:tblCellMar>
        </w:tblPrEx>
        <w:tc>
          <w:tcPr>
            <w:tcW w:w="4644" w:type="dxa"/>
            <w:shd w:val="clear" w:color="auto" w:fill="auto"/>
          </w:tcPr>
          <w:p w14:paraId="2EADBFF2">
            <w:pPr>
              <w:widowControl w:val="0"/>
              <w:spacing w:before="120" w:line="288" w:lineRule="auto"/>
              <w:jc w:val="center"/>
              <w:rPr>
                <w:i/>
                <w:sz w:val="21"/>
                <w:szCs w:val="21"/>
                <w:lang w:eastAsia="zh-CN"/>
              </w:rPr>
            </w:pPr>
            <w:r>
              <w:rPr>
                <w:i/>
                <w:sz w:val="21"/>
                <w:szCs w:val="21"/>
                <w:lang w:eastAsia="zh-CN"/>
              </w:rPr>
              <w:t>c=</w:t>
            </w:r>
            <w:r>
              <w:rPr>
                <w:rFonts w:hint="eastAsia"/>
                <w:iCs/>
                <w:sz w:val="21"/>
                <w:szCs w:val="21"/>
                <w:lang w:eastAsia="zh-CN"/>
              </w:rPr>
              <w:t>（</w:t>
            </w:r>
            <w:r>
              <w:rPr>
                <w:i/>
                <w:sz w:val="21"/>
                <w:szCs w:val="21"/>
                <w:lang w:eastAsia="zh-CN"/>
              </w:rPr>
              <w:t>a + b</w:t>
            </w:r>
            <w:r>
              <w:rPr>
                <w:rFonts w:hint="eastAsia"/>
                <w:iCs/>
                <w:sz w:val="21"/>
                <w:szCs w:val="21"/>
                <w:lang w:eastAsia="zh-CN"/>
              </w:rPr>
              <w:t>）×2</w:t>
            </w:r>
          </w:p>
        </w:tc>
        <w:tc>
          <w:tcPr>
            <w:tcW w:w="461" w:type="dxa"/>
            <w:shd w:val="clear" w:color="auto" w:fill="auto"/>
          </w:tcPr>
          <w:p w14:paraId="5AA971D7">
            <w:pPr>
              <w:widowControl w:val="0"/>
              <w:spacing w:before="120" w:line="288" w:lineRule="auto"/>
              <w:jc w:val="right"/>
              <w:rPr>
                <w:sz w:val="21"/>
                <w:szCs w:val="21"/>
                <w:lang w:eastAsia="zh-CN"/>
              </w:rPr>
            </w:pPr>
            <w:r>
              <w:rPr>
                <w:sz w:val="21"/>
                <w:szCs w:val="21"/>
                <w:lang w:eastAsia="zh-CN"/>
              </w:rPr>
              <w:t>（1）</w:t>
            </w:r>
          </w:p>
        </w:tc>
      </w:tr>
    </w:tbl>
    <w:p w14:paraId="453BD12B">
      <w:pPr>
        <w:adjustRightInd w:val="0"/>
        <w:snapToGrid w:val="0"/>
        <w:spacing w:before="120" w:beforeLines="50" w:after="120" w:afterLines="50" w:line="288" w:lineRule="auto"/>
        <w:jc w:val="both"/>
        <w:rPr>
          <w:sz w:val="21"/>
          <w:szCs w:val="21"/>
          <w:lang w:eastAsia="zh-CN"/>
        </w:rPr>
      </w:pPr>
      <w:r>
        <w:rPr>
          <w:rFonts w:hint="eastAsia"/>
          <w:sz w:val="21"/>
          <w:szCs w:val="21"/>
          <w:lang w:eastAsia="zh-CN"/>
        </w:rPr>
        <w:t>式中：</w:t>
      </w:r>
      <w:r>
        <w:rPr>
          <w:rFonts w:hint="eastAsia"/>
          <w:i/>
          <w:iCs/>
          <w:sz w:val="21"/>
          <w:szCs w:val="21"/>
          <w:lang w:eastAsia="zh-CN"/>
        </w:rPr>
        <w:t>c</w:t>
      </w:r>
      <w:r>
        <w:rPr>
          <w:rFonts w:hint="eastAsia"/>
          <w:sz w:val="21"/>
          <w:szCs w:val="21"/>
          <w:lang w:eastAsia="zh-CN"/>
        </w:rPr>
        <w:t>为矩形周长，m；</w:t>
      </w:r>
      <w:r>
        <w:rPr>
          <w:rFonts w:hint="eastAsia"/>
          <w:i/>
          <w:iCs/>
          <w:sz w:val="21"/>
          <w:szCs w:val="21"/>
          <w:lang w:eastAsia="zh-CN"/>
        </w:rPr>
        <w:t>a</w:t>
      </w:r>
      <w:r>
        <w:rPr>
          <w:rFonts w:hint="eastAsia"/>
          <w:sz w:val="21"/>
          <w:szCs w:val="21"/>
          <w:lang w:eastAsia="zh-CN"/>
        </w:rPr>
        <w:t>为矩形长边边长，m；</w:t>
      </w:r>
      <w:r>
        <w:rPr>
          <w:rFonts w:hint="eastAsia"/>
          <w:i/>
          <w:iCs/>
          <w:sz w:val="21"/>
          <w:szCs w:val="21"/>
          <w:lang w:eastAsia="zh-CN"/>
        </w:rPr>
        <w:t>b</w:t>
      </w:r>
      <w:r>
        <w:rPr>
          <w:rFonts w:hint="eastAsia"/>
          <w:sz w:val="21"/>
          <w:szCs w:val="21"/>
          <w:lang w:eastAsia="zh-CN"/>
        </w:rPr>
        <w:t>为矩形短边边长，m。</w:t>
      </w:r>
    </w:p>
    <w:p w14:paraId="22D42F05">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6 数字表达</w:t>
      </w:r>
    </w:p>
    <w:p w14:paraId="411CA8D6">
      <w:pPr>
        <w:spacing w:line="288" w:lineRule="auto"/>
        <w:ind w:firstLine="420" w:firstLineChars="200"/>
        <w:jc w:val="both"/>
        <w:rPr>
          <w:sz w:val="21"/>
          <w:szCs w:val="21"/>
          <w:lang w:eastAsia="zh-CN"/>
        </w:rPr>
      </w:pPr>
      <w:bookmarkStart w:id="6" w:name="_Hlk528153683"/>
      <w:r>
        <w:rPr>
          <w:sz w:val="21"/>
          <w:szCs w:val="21"/>
          <w:lang w:eastAsia="zh-CN"/>
        </w:rPr>
        <w:t>凡使用阿拉伯数字得体的地方，均应使用阿拉伯数字。请参照GB 15835-2011《出版物上数字用法》。</w:t>
      </w:r>
    </w:p>
    <w:p w14:paraId="0385E14D">
      <w:pPr>
        <w:spacing w:line="288" w:lineRule="auto"/>
        <w:ind w:firstLine="420" w:firstLineChars="200"/>
        <w:jc w:val="both"/>
        <w:rPr>
          <w:sz w:val="21"/>
          <w:szCs w:val="21"/>
          <w:lang w:eastAsia="zh-CN"/>
        </w:rPr>
      </w:pPr>
      <w:r>
        <w:rPr>
          <w:sz w:val="21"/>
          <w:szCs w:val="21"/>
          <w:lang w:eastAsia="zh-CN"/>
        </w:rPr>
        <w:t>世纪、年代、日期和时刻用阿拉伯数字，年份不能简写，如1998年不能写成98年。日期和时刻可采用全数字式写法，如2003年3月8日写成2003-03-08；时刻如16时15分30秒写成16:15:30。</w:t>
      </w:r>
    </w:p>
    <w:p w14:paraId="42210C5B">
      <w:pPr>
        <w:spacing w:line="288" w:lineRule="auto"/>
        <w:ind w:firstLine="420" w:firstLineChars="200"/>
        <w:jc w:val="both"/>
        <w:rPr>
          <w:sz w:val="21"/>
          <w:szCs w:val="21"/>
          <w:lang w:eastAsia="zh-CN"/>
        </w:rPr>
      </w:pPr>
      <w:r>
        <w:rPr>
          <w:sz w:val="21"/>
          <w:szCs w:val="21"/>
          <w:lang w:eastAsia="zh-Hans"/>
        </w:rPr>
        <w:t>计量和计数单位前的数字采用阿拉伯数字。多位阿拉伯数不能拆开换行。百分数范围如20%～30%不能写成20～30%，(85±2)%不能成85±2%；偏差范围如(25±1)℃不能写成25±1℃</w:t>
      </w:r>
      <w:r>
        <w:rPr>
          <w:sz w:val="21"/>
          <w:szCs w:val="21"/>
          <w:lang w:eastAsia="zh-CN"/>
        </w:rPr>
        <w:t>；220 V±10%应改写为220(1±0.10)V、(220±22)V；有特定起点和终点时间</w:t>
      </w:r>
      <w:r>
        <w:rPr>
          <w:spacing w:val="-4"/>
          <w:sz w:val="21"/>
          <w:szCs w:val="21"/>
          <w:lang w:eastAsia="zh-CN"/>
        </w:rPr>
        <w:t>段表示，连接符号用“—”，不用“～”；1百分点=1%，不必加“个”；第8天不能写成第8 d或d8；4位以上数字采用3位分节法</w:t>
      </w:r>
      <w:r>
        <w:rPr>
          <w:sz w:val="21"/>
          <w:szCs w:val="21"/>
          <w:lang w:eastAsia="zh-CN"/>
        </w:rPr>
        <w:t>，用半角逗号“,”分隔，纯小数必须要在小数点前用以定位的“0”</w:t>
      </w:r>
      <w:r>
        <w:rPr>
          <w:spacing w:val="-4"/>
          <w:sz w:val="21"/>
          <w:szCs w:val="21"/>
          <w:lang w:eastAsia="zh-CN"/>
        </w:rPr>
        <w:t>；带单位的量值相乘100×</w:t>
      </w:r>
      <w:r>
        <w:rPr>
          <w:spacing w:val="-2"/>
          <w:sz w:val="21"/>
          <w:szCs w:val="21"/>
          <w:lang w:eastAsia="zh-CN"/>
        </w:rPr>
        <w:t>200×300 mm（或mm</w:t>
      </w:r>
      <w:r>
        <w:rPr>
          <w:spacing w:val="-2"/>
          <w:sz w:val="21"/>
          <w:szCs w:val="21"/>
          <w:vertAlign w:val="superscript"/>
          <w:lang w:eastAsia="zh-CN"/>
        </w:rPr>
        <w:t>3</w:t>
      </w:r>
      <w:r>
        <w:rPr>
          <w:spacing w:val="-2"/>
          <w:sz w:val="21"/>
          <w:szCs w:val="21"/>
          <w:lang w:eastAsia="zh-CN"/>
        </w:rPr>
        <w:t>）应改为100 mm</w:t>
      </w:r>
      <w:r>
        <w:rPr>
          <w:rFonts w:hint="eastAsia" w:ascii="宋体" w:hAnsi="宋体" w:cs="宋体"/>
          <w:spacing w:val="-2"/>
          <w:sz w:val="21"/>
          <w:szCs w:val="21"/>
          <w:lang w:eastAsia="zh-CN"/>
        </w:rPr>
        <w:t>×</w:t>
      </w:r>
      <w:r>
        <w:rPr>
          <w:spacing w:val="-2"/>
          <w:sz w:val="21"/>
          <w:szCs w:val="21"/>
          <w:lang w:eastAsia="zh-CN"/>
        </w:rPr>
        <w:t>200 mm</w:t>
      </w:r>
      <w:r>
        <w:rPr>
          <w:rFonts w:hint="eastAsia" w:ascii="宋体" w:hAnsi="宋体" w:cs="宋体"/>
          <w:spacing w:val="-2"/>
          <w:sz w:val="21"/>
          <w:szCs w:val="21"/>
          <w:lang w:eastAsia="zh-CN"/>
        </w:rPr>
        <w:t>×</w:t>
      </w:r>
      <w:r>
        <w:rPr>
          <w:sz w:val="21"/>
          <w:szCs w:val="21"/>
          <w:lang w:eastAsia="zh-CN"/>
        </w:rPr>
        <w:t>300 mm。</w:t>
      </w:r>
    </w:p>
    <w:p w14:paraId="08E3E08B">
      <w:pPr>
        <w:spacing w:line="288" w:lineRule="auto"/>
        <w:ind w:firstLine="420" w:firstLineChars="200"/>
        <w:jc w:val="both"/>
        <w:rPr>
          <w:sz w:val="21"/>
          <w:szCs w:val="21"/>
          <w:lang w:eastAsia="zh-CN"/>
        </w:rPr>
      </w:pPr>
      <w:r>
        <w:rPr>
          <w:sz w:val="21"/>
          <w:szCs w:val="21"/>
          <w:lang w:eastAsia="zh-CN"/>
        </w:rPr>
        <w:t>尾数“0”由五位以上的数字，可以改写为以万、亿为单位的数，其余的不能改写。</w:t>
      </w:r>
    </w:p>
    <w:p w14:paraId="2929F409">
      <w:pPr>
        <w:spacing w:line="288" w:lineRule="auto"/>
        <w:ind w:firstLine="420" w:firstLineChars="200"/>
        <w:jc w:val="both"/>
        <w:rPr>
          <w:sz w:val="21"/>
          <w:szCs w:val="21"/>
          <w:lang w:eastAsia="zh-CN"/>
        </w:rPr>
      </w:pPr>
      <w:r>
        <w:rPr>
          <w:sz w:val="21"/>
          <w:szCs w:val="21"/>
          <w:lang w:eastAsia="zh-CN"/>
        </w:rPr>
        <w:t>连续性数字分组：年龄/岁：0～10、＞10～20、＞20～30，…，＞50～60，＞60。</w:t>
      </w:r>
    </w:p>
    <w:p w14:paraId="4983D84F">
      <w:pPr>
        <w:spacing w:line="288" w:lineRule="auto"/>
        <w:ind w:firstLine="420" w:firstLineChars="200"/>
        <w:jc w:val="both"/>
        <w:rPr>
          <w:sz w:val="21"/>
          <w:szCs w:val="21"/>
          <w:lang w:eastAsia="zh-CN"/>
        </w:rPr>
      </w:pPr>
      <w:r>
        <w:rPr>
          <w:sz w:val="21"/>
          <w:szCs w:val="21"/>
          <w:lang w:eastAsia="zh-CN"/>
        </w:rPr>
        <w:t>公里、世纪、年代、日期、时间起止用“—”，数值范围用“～”。如4—7月表示4月到7月；4～7月表示4到7个月时间。</w:t>
      </w:r>
    </w:p>
    <w:p w14:paraId="620E1CC6">
      <w:pPr>
        <w:spacing w:line="288" w:lineRule="auto"/>
        <w:ind w:firstLine="420" w:firstLineChars="200"/>
        <w:jc w:val="both"/>
        <w:rPr>
          <w:sz w:val="21"/>
          <w:szCs w:val="21"/>
          <w:lang w:eastAsia="zh-CN"/>
        </w:rPr>
      </w:pPr>
      <w:r>
        <w:rPr>
          <w:sz w:val="21"/>
          <w:szCs w:val="21"/>
          <w:lang w:eastAsia="zh-CN"/>
        </w:rPr>
        <w:t>五六岁，七八斤，八九个这样的数字之间不加顿号。</w:t>
      </w:r>
    </w:p>
    <w:bookmarkEnd w:id="6"/>
    <w:p w14:paraId="5272BC1C">
      <w:pPr>
        <w:adjustRightInd w:val="0"/>
        <w:snapToGrid w:val="0"/>
        <w:spacing w:before="120" w:beforeLines="50" w:after="120" w:afterLines="50" w:line="288" w:lineRule="auto"/>
        <w:jc w:val="both"/>
        <w:rPr>
          <w:rFonts w:eastAsia="黑体"/>
          <w:sz w:val="28"/>
          <w:szCs w:val="28"/>
          <w:lang w:eastAsia="zh-CN"/>
        </w:rPr>
      </w:pPr>
      <w:r>
        <w:rPr>
          <w:rFonts w:eastAsia="黑体"/>
          <w:sz w:val="28"/>
          <w:szCs w:val="28"/>
          <w:lang w:eastAsia="zh-CN"/>
        </w:rPr>
        <w:t>6 其</w:t>
      </w:r>
      <w:r>
        <w:rPr>
          <w:rFonts w:hint="eastAsia" w:eastAsia="黑体"/>
          <w:sz w:val="28"/>
          <w:szCs w:val="28"/>
          <w:lang w:eastAsia="zh-CN"/>
        </w:rPr>
        <w:t xml:space="preserve"> </w:t>
      </w:r>
      <w:r>
        <w:rPr>
          <w:rFonts w:eastAsia="黑体"/>
          <w:sz w:val="28"/>
          <w:szCs w:val="28"/>
          <w:lang w:eastAsia="zh-CN"/>
        </w:rPr>
        <w:t xml:space="preserve"> 他</w:t>
      </w:r>
    </w:p>
    <w:p w14:paraId="16A75265">
      <w:pPr>
        <w:spacing w:line="288" w:lineRule="auto"/>
        <w:ind w:firstLine="420" w:firstLineChars="200"/>
        <w:jc w:val="both"/>
        <w:rPr>
          <w:sz w:val="21"/>
          <w:szCs w:val="21"/>
          <w:lang w:eastAsia="zh-CN"/>
        </w:rPr>
      </w:pPr>
      <w:r>
        <w:rPr>
          <w:sz w:val="21"/>
          <w:szCs w:val="21"/>
          <w:lang w:eastAsia="zh-Hans"/>
        </w:rPr>
        <w:t>应特别注意外文字母的正斜体、大小写和上下标的表示，注意手稿中易混淆的外文字母，直接用电脑写作时应注意字符的全角半角之分。数字、字母、符号后面句号用圆点“.”代替。</w:t>
      </w:r>
      <w:r>
        <w:rPr>
          <w:sz w:val="21"/>
          <w:szCs w:val="21"/>
          <w:lang w:eastAsia="zh-CN"/>
        </w:rPr>
        <w:t>圆周率</w:t>
      </w:r>
      <w:r>
        <w:rPr>
          <w:sz w:val="21"/>
          <w:szCs w:val="21"/>
        </w:rPr>
        <w:t>π</w:t>
      </w:r>
      <w:r>
        <w:rPr>
          <w:sz w:val="21"/>
          <w:szCs w:val="21"/>
          <w:lang w:eastAsia="zh-CN"/>
        </w:rPr>
        <w:t>用正体。</w:t>
      </w:r>
    </w:p>
    <w:p w14:paraId="2C10A676">
      <w:pPr>
        <w:spacing w:line="288" w:lineRule="auto"/>
        <w:ind w:firstLine="420" w:firstLineChars="200"/>
        <w:jc w:val="both"/>
        <w:rPr>
          <w:sz w:val="21"/>
          <w:szCs w:val="21"/>
          <w:lang w:eastAsia="zh-CN"/>
        </w:rPr>
      </w:pPr>
      <w:r>
        <w:rPr>
          <w:sz w:val="21"/>
          <w:szCs w:val="21"/>
          <w:lang w:eastAsia="zh-CN"/>
        </w:rPr>
        <w:t>英文标点   ,     .    －    —     书刊名斜体同时首字母大写</w:t>
      </w:r>
    </w:p>
    <w:p w14:paraId="15CED86F">
      <w:pPr>
        <w:spacing w:line="288" w:lineRule="auto"/>
        <w:ind w:firstLine="420" w:firstLineChars="200"/>
        <w:jc w:val="both"/>
        <w:rPr>
          <w:sz w:val="21"/>
          <w:szCs w:val="21"/>
          <w:lang w:eastAsia="zh-CN"/>
        </w:rPr>
      </w:pPr>
      <w:r>
        <w:rPr>
          <w:sz w:val="21"/>
          <w:szCs w:val="21"/>
          <w:lang w:eastAsia="zh-CN"/>
        </w:rPr>
        <w:t>中文标点   ，   。   ～   ——   《》</w:t>
      </w:r>
    </w:p>
    <w:p w14:paraId="3B51CC74">
      <w:pPr>
        <w:spacing w:line="288" w:lineRule="auto"/>
        <w:ind w:firstLine="420" w:firstLineChars="200"/>
        <w:rPr>
          <w:sz w:val="21"/>
          <w:szCs w:val="21"/>
          <w:lang w:eastAsia="zh-CN"/>
        </w:rPr>
      </w:pPr>
      <w:r>
        <w:rPr>
          <w:sz w:val="21"/>
          <w:szCs w:val="21"/>
          <w:lang w:eastAsia="zh-CN"/>
        </w:rPr>
        <w:t>正文中外文词的大小写问题。英文科技名称缩写（指用实词首字母的）第一次在文中出现时，加括号注出相应的英文全称；所有的译名在第一次出现时都要加括号写出原文（英文小写）。如：常规问题（routine problem，缩写为RP）。</w:t>
      </w:r>
    </w:p>
    <w:p w14:paraId="4C1D4579">
      <w:pPr>
        <w:spacing w:line="288" w:lineRule="auto"/>
        <w:ind w:firstLine="420" w:firstLineChars="200"/>
        <w:jc w:val="both"/>
        <w:rPr>
          <w:sz w:val="21"/>
          <w:szCs w:val="21"/>
          <w:lang w:eastAsia="zh-CN"/>
        </w:rPr>
      </w:pPr>
    </w:p>
    <w:p w14:paraId="19FF09CD">
      <w:pPr>
        <w:spacing w:line="288" w:lineRule="auto"/>
        <w:ind w:firstLine="420" w:firstLineChars="200"/>
        <w:jc w:val="both"/>
        <w:rPr>
          <w:sz w:val="21"/>
          <w:szCs w:val="21"/>
          <w:lang w:eastAsia="zh-CN"/>
        </w:rPr>
      </w:pPr>
      <w:r>
        <w:rPr>
          <w:sz w:val="21"/>
          <w:szCs w:val="21"/>
          <w:lang w:eastAsia="zh-CN"/>
        </w:rPr>
        <w:t>极限值表示：</w:t>
      </w:r>
    </w:p>
    <w:p w14:paraId="6827C4F4">
      <w:pPr>
        <w:spacing w:line="288" w:lineRule="auto"/>
        <w:ind w:firstLine="420" w:firstLineChars="200"/>
        <w:jc w:val="both"/>
        <w:rPr>
          <w:sz w:val="21"/>
          <w:szCs w:val="21"/>
          <w:lang w:eastAsia="zh-CN"/>
        </w:rPr>
      </w:pPr>
      <w:r>
        <w:rPr>
          <w:sz w:val="21"/>
          <w:szCs w:val="21"/>
          <w:lang w:eastAsia="zh-CN"/>
        </w:rPr>
        <w:t>从A到B：A～B、A≤x≤B</w:t>
      </w:r>
    </w:p>
    <w:p w14:paraId="58BBA96B">
      <w:pPr>
        <w:spacing w:line="288" w:lineRule="auto"/>
        <w:ind w:firstLine="420" w:firstLineChars="200"/>
        <w:jc w:val="both"/>
        <w:rPr>
          <w:sz w:val="21"/>
          <w:szCs w:val="21"/>
          <w:lang w:eastAsia="zh-CN"/>
        </w:rPr>
      </w:pPr>
      <w:r>
        <w:rPr>
          <w:sz w:val="21"/>
          <w:szCs w:val="21"/>
          <w:lang w:eastAsia="zh-CN"/>
        </w:rPr>
        <w:t>超过A到B：＞A～B、A＜x≤B</w:t>
      </w:r>
    </w:p>
    <w:p w14:paraId="325F537A">
      <w:pPr>
        <w:spacing w:line="288" w:lineRule="auto"/>
        <w:ind w:firstLine="420" w:firstLineChars="200"/>
        <w:jc w:val="both"/>
        <w:rPr>
          <w:sz w:val="21"/>
          <w:szCs w:val="21"/>
        </w:rPr>
      </w:pPr>
      <w:r>
        <w:rPr>
          <w:sz w:val="21"/>
          <w:szCs w:val="21"/>
        </w:rPr>
        <w:t>至少A不足B：A～＜B、A≤x＜B</w:t>
      </w:r>
    </w:p>
    <w:p w14:paraId="0E122E7D">
      <w:pPr>
        <w:spacing w:line="288" w:lineRule="auto"/>
        <w:ind w:firstLine="420" w:firstLineChars="200"/>
        <w:jc w:val="both"/>
        <w:rPr>
          <w:sz w:val="21"/>
          <w:szCs w:val="21"/>
          <w:lang w:eastAsia="zh-CN"/>
        </w:rPr>
      </w:pPr>
      <w:r>
        <w:rPr>
          <w:sz w:val="21"/>
          <w:szCs w:val="21"/>
          <w:lang w:eastAsia="zh-CN"/>
        </w:rPr>
        <w:t>超过A不足B：＞A～＜B、A＜x＜B</w:t>
      </w:r>
    </w:p>
    <w:p w14:paraId="6A8E299B">
      <w:pPr>
        <w:spacing w:line="288" w:lineRule="auto"/>
        <w:ind w:firstLine="420" w:firstLineChars="200"/>
        <w:jc w:val="both"/>
        <w:rPr>
          <w:sz w:val="21"/>
          <w:szCs w:val="21"/>
        </w:rPr>
      </w:pPr>
      <w:r>
        <w:rPr>
          <w:sz w:val="21"/>
          <w:szCs w:val="21"/>
        </w:rPr>
        <w:t>万分之一以上：既可以是≥10</w:t>
      </w:r>
      <w:r>
        <w:rPr>
          <w:sz w:val="21"/>
          <w:szCs w:val="21"/>
          <w:vertAlign w:val="superscript"/>
        </w:rPr>
        <w:t>-4</w:t>
      </w:r>
      <w:r>
        <w:rPr>
          <w:sz w:val="21"/>
          <w:szCs w:val="21"/>
        </w:rPr>
        <w:t>，也可以是＞10</w:t>
      </w:r>
      <w:r>
        <w:rPr>
          <w:sz w:val="21"/>
          <w:szCs w:val="21"/>
          <w:vertAlign w:val="superscript"/>
        </w:rPr>
        <w:t>-4</w:t>
      </w:r>
    </w:p>
    <w:p w14:paraId="6ADF01FD">
      <w:pPr>
        <w:spacing w:line="288" w:lineRule="auto"/>
        <w:ind w:firstLine="420" w:firstLineChars="200"/>
        <w:jc w:val="both"/>
        <w:rPr>
          <w:sz w:val="21"/>
          <w:szCs w:val="21"/>
          <w:lang w:eastAsia="zh-CN"/>
        </w:rPr>
      </w:pPr>
      <w:r>
        <w:rPr>
          <w:sz w:val="21"/>
          <w:szCs w:val="21"/>
          <w:lang w:eastAsia="zh-CN"/>
        </w:rPr>
        <w:t>近、约、左右、上下不能并用；最大、最小不能用于概数，“超过300多V”“近500多hPa”是不正确的写法。</w:t>
      </w:r>
    </w:p>
    <w:p w14:paraId="085C2938">
      <w:pPr>
        <w:spacing w:line="288" w:lineRule="auto"/>
        <w:ind w:firstLine="420" w:firstLineChars="200"/>
        <w:rPr>
          <w:sz w:val="21"/>
          <w:szCs w:val="21"/>
          <w:lang w:eastAsia="zh-CN"/>
        </w:rPr>
      </w:pPr>
      <w:r>
        <w:rPr>
          <w:sz w:val="21"/>
          <w:szCs w:val="21"/>
          <w:lang w:eastAsia="zh-CN"/>
        </w:rPr>
        <w:t>“—”用于时间、日期、时刻起止；地点起止，如“北京—天津”；表示方位，如走向“东南—东北”；表示递进发展；表示工艺流程。</w:t>
      </w:r>
    </w:p>
    <w:p w14:paraId="52A608CF">
      <w:pPr>
        <w:spacing w:line="288" w:lineRule="auto"/>
        <w:ind w:firstLine="420" w:firstLineChars="200"/>
        <w:rPr>
          <w:sz w:val="21"/>
          <w:szCs w:val="21"/>
          <w:lang w:eastAsia="zh-CN"/>
        </w:rPr>
      </w:pPr>
      <w:r>
        <w:rPr>
          <w:sz w:val="21"/>
          <w:szCs w:val="21"/>
          <w:lang w:eastAsia="zh-CN"/>
        </w:rPr>
        <w:t>（空一行）</w:t>
      </w:r>
    </w:p>
    <w:p w14:paraId="46ACC145">
      <w:pPr>
        <w:tabs>
          <w:tab w:val="left" w:pos="468"/>
        </w:tabs>
        <w:adjustRightInd w:val="0"/>
        <w:spacing w:line="288" w:lineRule="auto"/>
        <w:rPr>
          <w:b/>
          <w:bCs/>
          <w:sz w:val="21"/>
          <w:szCs w:val="21"/>
          <w:lang w:eastAsia="zh-CN"/>
        </w:rPr>
      </w:pPr>
      <w:r>
        <w:rPr>
          <w:b/>
          <w:bCs/>
          <w:sz w:val="21"/>
          <w:szCs w:val="21"/>
          <w:lang w:eastAsia="zh-CN"/>
        </w:rPr>
        <w:t>参考文献：（</w:t>
      </w:r>
      <w:r>
        <w:rPr>
          <w:rFonts w:hint="eastAsia"/>
          <w:b/>
          <w:bCs/>
          <w:sz w:val="21"/>
          <w:szCs w:val="21"/>
          <w:lang w:eastAsia="zh-CN"/>
        </w:rPr>
        <w:t>中文参考文献应附加英文版，英文版文章标题、刊名等应与原文一致，请勿自行翻译。原文无英文标题等内容的无需附英文版，如中文报纸、书籍、标准等。格式有软件检查，作者无需刻意调整</w:t>
      </w:r>
      <w:r>
        <w:rPr>
          <w:b/>
          <w:bCs/>
          <w:sz w:val="21"/>
          <w:szCs w:val="21"/>
          <w:lang w:eastAsia="zh-CN"/>
        </w:rPr>
        <w:t>）</w:t>
      </w:r>
    </w:p>
    <w:p w14:paraId="6C7F4643">
      <w:pPr>
        <w:numPr>
          <w:ilvl w:val="0"/>
          <w:numId w:val="5"/>
        </w:numPr>
        <w:spacing w:line="288" w:lineRule="auto"/>
        <w:jc w:val="both"/>
        <w:rPr>
          <w:sz w:val="18"/>
          <w:szCs w:val="18"/>
        </w:rPr>
      </w:pPr>
      <w:r>
        <w:rPr>
          <w:sz w:val="18"/>
          <w:szCs w:val="18"/>
        </w:rPr>
        <w:t>MANDAL B, LI L, WANG G S, et al. Towards detection of bus driver fatigue based on robust visual analysis of eye state[J]. IEEE Transactions on Intelligent Transportation Systems, 2017, 18(3): 545</w:t>
      </w:r>
      <w:r>
        <w:rPr>
          <w:sz w:val="18"/>
          <w:szCs w:val="18"/>
          <w:lang w:eastAsia="zh-CN"/>
        </w:rPr>
        <w:t>-</w:t>
      </w:r>
      <w:r>
        <w:rPr>
          <w:sz w:val="18"/>
          <w:szCs w:val="18"/>
        </w:rPr>
        <w:t>557.</w:t>
      </w:r>
      <w:r>
        <w:rPr>
          <w:sz w:val="18"/>
          <w:szCs w:val="18"/>
          <w:lang w:eastAsia="zh-CN"/>
        </w:rPr>
        <w:t>（</w:t>
      </w:r>
      <w:r>
        <w:rPr>
          <w:sz w:val="18"/>
          <w:szCs w:val="18"/>
        </w:rPr>
        <w:t>Times New Roman</w:t>
      </w:r>
      <w:r>
        <w:rPr>
          <w:sz w:val="18"/>
          <w:szCs w:val="18"/>
          <w:lang w:eastAsia="zh-CN"/>
        </w:rPr>
        <w:t>，</w:t>
      </w:r>
      <w:r>
        <w:rPr>
          <w:sz w:val="18"/>
          <w:szCs w:val="18"/>
        </w:rPr>
        <w:t>小五</w:t>
      </w:r>
      <w:r>
        <w:rPr>
          <w:sz w:val="18"/>
          <w:szCs w:val="18"/>
          <w:lang w:eastAsia="zh-CN"/>
        </w:rPr>
        <w:t>）</w:t>
      </w:r>
    </w:p>
    <w:p w14:paraId="69B75C24">
      <w:pPr>
        <w:numPr>
          <w:ilvl w:val="0"/>
          <w:numId w:val="5"/>
        </w:numPr>
        <w:spacing w:line="288" w:lineRule="auto"/>
        <w:jc w:val="both"/>
        <w:rPr>
          <w:sz w:val="18"/>
          <w:szCs w:val="18"/>
          <w:lang w:eastAsia="zh-CN"/>
        </w:rPr>
      </w:pPr>
      <w:r>
        <w:rPr>
          <w:sz w:val="18"/>
          <w:szCs w:val="18"/>
          <w:lang w:eastAsia="zh-CN"/>
        </w:rPr>
        <w:t>李锐, 蔡兵, 刘琳, 等. 基于模型的驾驶员眼睛状态识别[J]. 仪器仪表学报, 2016, 37(1): 184-191.（宋体，小五）</w:t>
      </w:r>
    </w:p>
    <w:p w14:paraId="3A56CF2F">
      <w:pPr>
        <w:numPr>
          <w:ilvl w:val="0"/>
          <w:numId w:val="5"/>
        </w:numPr>
        <w:spacing w:line="288" w:lineRule="auto"/>
        <w:jc w:val="both"/>
        <w:rPr>
          <w:sz w:val="18"/>
          <w:szCs w:val="18"/>
        </w:rPr>
      </w:pPr>
      <w:r>
        <w:rPr>
          <w:sz w:val="18"/>
          <w:szCs w:val="18"/>
          <w:lang w:eastAsia="zh-CN"/>
        </w:rPr>
        <w:t xml:space="preserve">LI R, CAI B, LIU L, et al. </w:t>
      </w:r>
      <w:r>
        <w:rPr>
          <w:sz w:val="18"/>
          <w:szCs w:val="18"/>
        </w:rPr>
        <w:t>Model-based driver eye status recognition[J]. Chinese Journal of Scientific Instrument, 2016, 37(1): 184</w:t>
      </w:r>
      <w:r>
        <w:rPr>
          <w:rFonts w:eastAsiaTheme="minorEastAsia"/>
          <w:sz w:val="18"/>
          <w:szCs w:val="18"/>
          <w:lang w:eastAsia="zh-CN"/>
        </w:rPr>
        <w:t>-</w:t>
      </w:r>
      <w:r>
        <w:rPr>
          <w:sz w:val="18"/>
          <w:szCs w:val="18"/>
        </w:rPr>
        <w:t xml:space="preserve">191. </w:t>
      </w:r>
    </w:p>
    <w:p w14:paraId="2F570C73">
      <w:pPr>
        <w:numPr>
          <w:ilvl w:val="0"/>
          <w:numId w:val="5"/>
        </w:numPr>
        <w:spacing w:line="288" w:lineRule="auto"/>
        <w:jc w:val="both"/>
        <w:rPr>
          <w:sz w:val="18"/>
          <w:szCs w:val="18"/>
          <w:lang w:eastAsia="zh-CN"/>
        </w:rPr>
      </w:pPr>
      <w:r>
        <w:rPr>
          <w:sz w:val="18"/>
          <w:szCs w:val="18"/>
          <w:lang w:eastAsia="zh-CN"/>
        </w:rPr>
        <w:t>余敏. 出版集团研究[M]. 北京：中国书籍出版社, 2001: 179-193.</w:t>
      </w:r>
    </w:p>
    <w:p w14:paraId="39857178">
      <w:pPr>
        <w:numPr>
          <w:ilvl w:val="0"/>
          <w:numId w:val="5"/>
        </w:numPr>
        <w:spacing w:line="288" w:lineRule="auto"/>
        <w:jc w:val="both"/>
        <w:rPr>
          <w:sz w:val="18"/>
          <w:szCs w:val="18"/>
        </w:rPr>
      </w:pPr>
      <w:r>
        <w:rPr>
          <w:sz w:val="18"/>
          <w:szCs w:val="18"/>
        </w:rPr>
        <w:t>PIGGOT T M. The cataloguer’s way through AACR2: from document receipt to document retrieval[M]. London: The Library Association, 1990.</w:t>
      </w:r>
    </w:p>
    <w:p w14:paraId="4F5ECC54">
      <w:pPr>
        <w:numPr>
          <w:ilvl w:val="0"/>
          <w:numId w:val="5"/>
        </w:numPr>
        <w:spacing w:line="288" w:lineRule="auto"/>
        <w:jc w:val="both"/>
        <w:rPr>
          <w:sz w:val="18"/>
          <w:szCs w:val="18"/>
          <w:lang w:eastAsia="zh-CN"/>
        </w:rPr>
      </w:pPr>
      <w:r>
        <w:rPr>
          <w:sz w:val="18"/>
          <w:szCs w:val="18"/>
          <w:lang w:eastAsia="zh-CN"/>
        </w:rPr>
        <w:t>辛希孟. 信息技术与信息服务国际研讨会论文集：A集[C]. 北京: 中国社会科学出版社, 1994.</w:t>
      </w:r>
    </w:p>
    <w:p w14:paraId="02D19427">
      <w:pPr>
        <w:numPr>
          <w:ilvl w:val="0"/>
          <w:numId w:val="5"/>
        </w:numPr>
        <w:adjustRightInd w:val="0"/>
        <w:snapToGrid w:val="0"/>
        <w:spacing w:line="288" w:lineRule="auto"/>
        <w:jc w:val="both"/>
        <w:rPr>
          <w:sz w:val="18"/>
          <w:szCs w:val="18"/>
          <w:lang w:eastAsia="zh-CN"/>
        </w:rPr>
      </w:pPr>
      <w:r>
        <w:rPr>
          <w:sz w:val="18"/>
          <w:szCs w:val="18"/>
          <w:lang w:eastAsia="zh-CN"/>
        </w:rPr>
        <w:t>汪学军. 中国农业转基因生物研发进展与安全管理[C]// 国家环境保护总局生物安全管理办公室. 中国国家生物安全框架实施国际合作项目研讨会论文集. 北京: 中国环境科学出版社, 2002: 22-25.</w:t>
      </w:r>
    </w:p>
    <w:p w14:paraId="3D2D4348">
      <w:pPr>
        <w:numPr>
          <w:ilvl w:val="0"/>
          <w:numId w:val="5"/>
        </w:numPr>
        <w:adjustRightInd w:val="0"/>
        <w:snapToGrid w:val="0"/>
        <w:spacing w:line="288" w:lineRule="auto"/>
        <w:jc w:val="both"/>
        <w:rPr>
          <w:sz w:val="18"/>
          <w:szCs w:val="18"/>
          <w:lang w:eastAsia="zh-CN"/>
        </w:rPr>
      </w:pPr>
      <w:r>
        <w:rPr>
          <w:sz w:val="18"/>
          <w:szCs w:val="18"/>
          <w:lang w:eastAsia="zh-CN"/>
        </w:rPr>
        <w:t>FOURNEY M E. Advances in holographic photoelasticity[C]// Symposium on Applications of Holography in Mechanics, August 23-25, 1971, University of Southern California, Los Angeles, California, New York: ASME, c1971: 17-38.</w:t>
      </w:r>
    </w:p>
    <w:p w14:paraId="0C7AF3F5">
      <w:pPr>
        <w:numPr>
          <w:ilvl w:val="0"/>
          <w:numId w:val="5"/>
        </w:numPr>
        <w:adjustRightInd w:val="0"/>
        <w:snapToGrid w:val="0"/>
        <w:spacing w:line="288" w:lineRule="auto"/>
        <w:jc w:val="both"/>
        <w:rPr>
          <w:sz w:val="18"/>
          <w:szCs w:val="18"/>
          <w:lang w:eastAsia="zh-CN"/>
        </w:rPr>
      </w:pPr>
      <w:r>
        <w:rPr>
          <w:sz w:val="18"/>
          <w:szCs w:val="18"/>
          <w:lang w:eastAsia="zh-CN"/>
        </w:rPr>
        <w:t>吴依行. 基于超声波传感器与液压传动的耕深自动监测控制深松机设计[D]. 北京: 中国农业大学, 2018.</w:t>
      </w:r>
    </w:p>
    <w:p w14:paraId="63EDBD77">
      <w:pPr>
        <w:adjustRightInd w:val="0"/>
        <w:snapToGrid w:val="0"/>
        <w:spacing w:line="288" w:lineRule="auto"/>
        <w:ind w:left="420"/>
        <w:jc w:val="both"/>
        <w:rPr>
          <w:sz w:val="18"/>
          <w:szCs w:val="18"/>
          <w:lang w:eastAsia="zh-CN"/>
        </w:rPr>
      </w:pPr>
      <w:r>
        <w:rPr>
          <w:sz w:val="18"/>
          <w:szCs w:val="18"/>
          <w:lang w:eastAsia="zh-CN"/>
        </w:rPr>
        <w:t>WU Y. The design of depth automatic monitoring control subsoiler based on ultrasonic sensor and hydraulic drive[D]. Beijing: China Agricultural University, 2018.</w:t>
      </w:r>
    </w:p>
    <w:p w14:paraId="328A78AA">
      <w:pPr>
        <w:numPr>
          <w:ilvl w:val="0"/>
          <w:numId w:val="5"/>
        </w:numPr>
        <w:adjustRightInd w:val="0"/>
        <w:snapToGrid w:val="0"/>
        <w:spacing w:line="288" w:lineRule="auto"/>
        <w:jc w:val="both"/>
        <w:rPr>
          <w:sz w:val="18"/>
          <w:szCs w:val="18"/>
          <w:lang w:eastAsia="zh-CN"/>
        </w:rPr>
      </w:pPr>
      <w:r>
        <w:rPr>
          <w:sz w:val="18"/>
          <w:szCs w:val="18"/>
          <w:lang w:eastAsia="zh-CN"/>
        </w:rPr>
        <w:t>刘加林. 多功能一次性压舌板: 中国, 92214985.2[P]. 1993-04-14.</w:t>
      </w:r>
    </w:p>
    <w:p w14:paraId="0543E3F5">
      <w:pPr>
        <w:numPr>
          <w:ilvl w:val="0"/>
          <w:numId w:val="5"/>
        </w:numPr>
        <w:adjustRightInd w:val="0"/>
        <w:snapToGrid w:val="0"/>
        <w:spacing w:line="288" w:lineRule="auto"/>
        <w:jc w:val="both"/>
        <w:rPr>
          <w:sz w:val="18"/>
          <w:szCs w:val="18"/>
          <w:lang w:eastAsia="zh-CN"/>
        </w:rPr>
      </w:pPr>
      <w:r>
        <w:rPr>
          <w:sz w:val="18"/>
          <w:szCs w:val="18"/>
          <w:lang w:eastAsia="zh-CN"/>
        </w:rPr>
        <w:t>程根伟. 1998年长江洪水的成因与减灾对策[M]//许厚泽，赵其国. 长江流域洪涝灾害与科技对策.北京: 科学出版社, 1999: 32-36.</w:t>
      </w:r>
    </w:p>
    <w:p w14:paraId="188CEB73">
      <w:pPr>
        <w:numPr>
          <w:ilvl w:val="0"/>
          <w:numId w:val="5"/>
        </w:numPr>
        <w:adjustRightInd w:val="0"/>
        <w:snapToGrid w:val="0"/>
        <w:spacing w:line="288" w:lineRule="auto"/>
        <w:jc w:val="both"/>
        <w:rPr>
          <w:sz w:val="18"/>
          <w:szCs w:val="18"/>
          <w:lang w:eastAsia="zh-CN"/>
        </w:rPr>
      </w:pPr>
      <w:r>
        <w:rPr>
          <w:sz w:val="18"/>
          <w:szCs w:val="18"/>
          <w:lang w:eastAsia="zh-CN"/>
        </w:rPr>
        <w:t>谢希德. 创造学习的新思路[N]. 人民日报, 1998-12-25(10).</w:t>
      </w:r>
    </w:p>
    <w:p w14:paraId="71314C27">
      <w:pPr>
        <w:numPr>
          <w:ilvl w:val="0"/>
          <w:numId w:val="5"/>
        </w:numPr>
        <w:adjustRightInd w:val="0"/>
        <w:snapToGrid w:val="0"/>
        <w:spacing w:line="288" w:lineRule="auto"/>
        <w:jc w:val="both"/>
        <w:rPr>
          <w:sz w:val="18"/>
          <w:szCs w:val="18"/>
        </w:rPr>
      </w:pPr>
      <w:r>
        <w:rPr>
          <w:sz w:val="18"/>
          <w:szCs w:val="18"/>
        </w:rPr>
        <w:t>TURCOTTE D L. Fractals and chaos in geology and geophysics[M/OL]. New York: Cambridge University Press, 1992 [1998-09-23]. http://www.seg.org/reviews/mccorm30.html.</w:t>
      </w:r>
    </w:p>
    <w:p w14:paraId="0B4368E9">
      <w:pPr>
        <w:numPr>
          <w:ilvl w:val="0"/>
          <w:numId w:val="5"/>
        </w:numPr>
        <w:adjustRightInd w:val="0"/>
        <w:snapToGrid w:val="0"/>
        <w:spacing w:line="288" w:lineRule="auto"/>
        <w:rPr>
          <w:sz w:val="18"/>
          <w:szCs w:val="18"/>
          <w:lang w:eastAsia="zh-CN"/>
        </w:rPr>
      </w:pPr>
      <w:r>
        <w:rPr>
          <w:sz w:val="18"/>
          <w:szCs w:val="18"/>
          <w:lang w:eastAsia="zh-CN"/>
        </w:rPr>
        <w:t xml:space="preserve">傅刚, 赵承, 李佳路. 大风沙过后的思考[N/OL]. 北京青年报, 2000-04-12(14) [2005-07-12]. </w:t>
      </w:r>
      <w:r>
        <w:fldChar w:fldCharType="begin"/>
      </w:r>
      <w:r>
        <w:instrText xml:space="preserve"> HYPERLINK "http://www.bjyouth.com.cn/Bqb/20000412/GB/4216%5ED0412B1401.htm" </w:instrText>
      </w:r>
      <w:r>
        <w:fldChar w:fldCharType="separate"/>
      </w:r>
      <w:r>
        <w:rPr>
          <w:rStyle w:val="24"/>
          <w:sz w:val="18"/>
          <w:szCs w:val="18"/>
          <w:lang w:eastAsia="zh-CN"/>
        </w:rPr>
        <w:t>http://www.bjyouth.com.cn/Bqb/20000412/GB/4216%5ED0412B1401.htm</w:t>
      </w:r>
      <w:r>
        <w:rPr>
          <w:rStyle w:val="24"/>
          <w:sz w:val="18"/>
          <w:szCs w:val="18"/>
          <w:lang w:eastAsia="zh-CN"/>
        </w:rPr>
        <w:fldChar w:fldCharType="end"/>
      </w:r>
      <w:r>
        <w:rPr>
          <w:sz w:val="18"/>
          <w:szCs w:val="18"/>
          <w:lang w:eastAsia="zh-CN"/>
        </w:rPr>
        <w:t>.</w:t>
      </w:r>
    </w:p>
    <w:p w14:paraId="341C661F">
      <w:pPr>
        <w:numPr>
          <w:ilvl w:val="0"/>
          <w:numId w:val="5"/>
        </w:numPr>
        <w:adjustRightInd w:val="0"/>
        <w:snapToGrid w:val="0"/>
        <w:spacing w:line="288" w:lineRule="auto"/>
        <w:rPr>
          <w:sz w:val="18"/>
          <w:szCs w:val="18"/>
          <w:lang w:eastAsia="zh-CN"/>
        </w:rPr>
      </w:pPr>
      <w:r>
        <w:rPr>
          <w:sz w:val="18"/>
          <w:szCs w:val="18"/>
        </w:rPr>
        <w:t>Online Computer Library Center, Inc. History of OCLC [EB/OL]. [2000-01-08]. http://www.oclc.org/about/History/default.htm.</w:t>
      </w:r>
    </w:p>
    <w:p w14:paraId="408684EF">
      <w:pPr>
        <w:autoSpaceDE w:val="0"/>
        <w:autoSpaceDN w:val="0"/>
        <w:adjustRightInd w:val="0"/>
        <w:snapToGrid w:val="0"/>
        <w:spacing w:line="288" w:lineRule="auto"/>
        <w:ind w:firstLine="360" w:firstLineChars="200"/>
        <w:jc w:val="both"/>
        <w:rPr>
          <w:sz w:val="18"/>
          <w:szCs w:val="18"/>
          <w:lang w:eastAsia="zh-CN"/>
        </w:rPr>
        <w:sectPr>
          <w:type w:val="continuous"/>
          <w:pgSz w:w="11906" w:h="16838"/>
          <w:pgMar w:top="2155" w:right="1474" w:bottom="1418" w:left="1474" w:header="1417" w:footer="992" w:gutter="0"/>
          <w:cols w:space="425" w:num="1"/>
          <w:titlePg/>
          <w:docGrid w:linePitch="326" w:charSpace="0"/>
        </w:sectPr>
      </w:pPr>
    </w:p>
    <w:p w14:paraId="03A69E38">
      <w:pPr>
        <w:autoSpaceDE w:val="0"/>
        <w:autoSpaceDN w:val="0"/>
        <w:adjustRightInd w:val="0"/>
        <w:snapToGrid w:val="0"/>
        <w:spacing w:line="288" w:lineRule="auto"/>
        <w:jc w:val="center"/>
        <w:rPr>
          <w:lang w:eastAsia="zh-CN"/>
        </w:rPr>
      </w:pPr>
    </w:p>
    <w:sectPr>
      <w:type w:val="continuous"/>
      <w:pgSz w:w="11906" w:h="16838"/>
      <w:pgMar w:top="2155" w:right="1474" w:bottom="1418" w:left="1474" w:header="851" w:footer="992" w:gutter="0"/>
      <w:pgNumType w:start="1"/>
      <w:cols w:space="425"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Arial Unicode MS">
    <w:altName w:val="Malgun Gothic Semilight"/>
    <w:panose1 w:val="020B0604020202020204"/>
    <w:charset w:val="86"/>
    <w:family w:val="swiss"/>
    <w:pitch w:val="default"/>
    <w:sig w:usb0="00000000" w:usb1="00000000" w:usb2="0000003F" w:usb3="00000000" w:csb0="003F01FF" w:csb1="00000000"/>
  </w:font>
  <w:font w:name="Malgun Gothic Semilight">
    <w:panose1 w:val="020B0502040204020203"/>
    <w:charset w:val="86"/>
    <w:family w:val="auto"/>
    <w:pitch w:val="default"/>
    <w:sig w:usb0="900002AF" w:usb1="01D77CFB" w:usb2="00000012" w:usb3="00000000" w:csb0="203E01BD" w:csb1="D7FF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Times">
    <w:altName w:val="Times New Roman"/>
    <w:panose1 w:val="02020603050405020304"/>
    <w:charset w:val="00"/>
    <w:family w:val="roman"/>
    <w:pitch w:val="default"/>
    <w:sig w:usb0="00000000" w:usb1="00000000" w:usb2="00000009" w:usb3="00000000" w:csb0="000001FF" w:csb1="00000000"/>
  </w:font>
  <w:font w:name="Verdana">
    <w:panose1 w:val="020B0604030504040204"/>
    <w:charset w:val="00"/>
    <w:family w:val="swiss"/>
    <w:pitch w:val="default"/>
    <w:sig w:usb0="A00006FF" w:usb1="4000205B" w:usb2="00000010" w:usb3="00000000" w:csb0="2000019F"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等线">
    <w:panose1 w:val="02010600030101010101"/>
    <w:charset w:val="86"/>
    <w:family w:val="auto"/>
    <w:pitch w:val="default"/>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124DDA70">
      <w:pPr>
        <w:pStyle w:val="56"/>
        <w:spacing w:line="288" w:lineRule="auto"/>
        <w:ind w:left="0" w:firstLine="0" w:firstLineChars="0"/>
        <w:rPr>
          <w:color w:val="000000"/>
          <w:sz w:val="15"/>
          <w:szCs w:val="15"/>
        </w:rPr>
      </w:pPr>
      <w:r>
        <w:rPr>
          <w:rFonts w:hAnsi="宋体"/>
          <w:snapToGrid w:val="0"/>
          <w:spacing w:val="2"/>
          <w:kern w:val="2"/>
          <w:sz w:val="15"/>
          <w:szCs w:val="15"/>
        </w:rPr>
        <w:t>收稿日期：</w:t>
      </w:r>
      <w:r>
        <w:rPr>
          <w:rFonts w:hint="eastAsia"/>
          <w:color w:val="000000"/>
          <w:sz w:val="15"/>
          <w:szCs w:val="15"/>
        </w:rPr>
        <w:t>yyyy</w:t>
      </w:r>
      <w:r>
        <w:rPr>
          <w:color w:val="000000"/>
          <w:sz w:val="15"/>
          <w:szCs w:val="15"/>
        </w:rPr>
        <w:t>-</w:t>
      </w:r>
      <w:r>
        <w:rPr>
          <w:rFonts w:hint="eastAsia"/>
          <w:color w:val="000000"/>
          <w:sz w:val="15"/>
          <w:szCs w:val="15"/>
        </w:rPr>
        <w:t>mm</w:t>
      </w:r>
      <w:r>
        <w:rPr>
          <w:color w:val="000000"/>
          <w:sz w:val="15"/>
          <w:szCs w:val="15"/>
        </w:rPr>
        <w:t>-</w:t>
      </w:r>
      <w:r>
        <w:rPr>
          <w:rFonts w:hint="eastAsia"/>
          <w:color w:val="000000"/>
          <w:sz w:val="15"/>
          <w:szCs w:val="15"/>
        </w:rPr>
        <w:t>dd</w:t>
      </w:r>
      <w:r>
        <w:rPr>
          <w:color w:val="000000"/>
          <w:sz w:val="15"/>
          <w:szCs w:val="15"/>
        </w:rPr>
        <w:t xml:space="preserve"> </w:t>
      </w:r>
    </w:p>
    <w:p w14:paraId="4FC1BE92">
      <w:pPr>
        <w:pStyle w:val="15"/>
        <w:spacing w:line="288" w:lineRule="auto"/>
        <w:jc w:val="both"/>
        <w:rPr>
          <w:sz w:val="15"/>
          <w:szCs w:val="15"/>
          <w:lang w:eastAsia="zh-CN"/>
        </w:rPr>
      </w:pPr>
      <w:r>
        <w:rPr>
          <w:rFonts w:hAnsi="宋体"/>
          <w:sz w:val="15"/>
          <w:szCs w:val="15"/>
          <w:lang w:eastAsia="zh-CN"/>
        </w:rPr>
        <w:t>基金项目：</w:t>
      </w:r>
      <w:r>
        <w:rPr>
          <w:rFonts w:hint="eastAsia" w:hAnsi="宋体"/>
          <w:sz w:val="15"/>
          <w:szCs w:val="15"/>
          <w:lang w:eastAsia="zh-CN"/>
        </w:rPr>
        <w:t>项目名称</w:t>
      </w:r>
      <w:r>
        <w:rPr>
          <w:rFonts w:hAnsi="宋体"/>
          <w:sz w:val="15"/>
          <w:szCs w:val="15"/>
          <w:lang w:eastAsia="zh-CN"/>
        </w:rPr>
        <w:t>（</w:t>
      </w:r>
      <w:r>
        <w:rPr>
          <w:rFonts w:hint="eastAsia" w:hAnsi="宋体"/>
          <w:sz w:val="15"/>
          <w:szCs w:val="15"/>
          <w:lang w:eastAsia="zh-CN"/>
        </w:rPr>
        <w:t>项目编号</w:t>
      </w:r>
      <w:r>
        <w:rPr>
          <w:rFonts w:hAnsi="宋体"/>
          <w:sz w:val="15"/>
          <w:szCs w:val="15"/>
          <w:lang w:eastAsia="zh-CN"/>
        </w:rPr>
        <w:t>）；</w:t>
      </w:r>
      <w:r>
        <w:rPr>
          <w:rFonts w:hint="eastAsia" w:hAnsi="宋体"/>
          <w:sz w:val="15"/>
          <w:szCs w:val="15"/>
          <w:lang w:eastAsia="zh-CN"/>
        </w:rPr>
        <w:t>项目名称</w:t>
      </w:r>
      <w:r>
        <w:rPr>
          <w:rFonts w:hAnsi="宋体"/>
          <w:sz w:val="15"/>
          <w:szCs w:val="15"/>
          <w:lang w:eastAsia="zh-CN"/>
        </w:rPr>
        <w:t>（</w:t>
      </w:r>
      <w:r>
        <w:rPr>
          <w:rFonts w:hint="eastAsia" w:hAnsi="宋体"/>
          <w:sz w:val="15"/>
          <w:szCs w:val="15"/>
          <w:lang w:eastAsia="zh-CN"/>
        </w:rPr>
        <w:t>项目编号</w:t>
      </w:r>
      <w:r>
        <w:rPr>
          <w:rFonts w:hAnsi="宋体"/>
          <w:sz w:val="15"/>
          <w:szCs w:val="15"/>
          <w:lang w:eastAsia="zh-CN"/>
        </w:rPr>
        <w:t>）</w:t>
      </w:r>
    </w:p>
    <w:p w14:paraId="56B8D69B">
      <w:pPr>
        <w:pStyle w:val="15"/>
        <w:adjustRightInd w:val="0"/>
        <w:spacing w:line="288" w:lineRule="auto"/>
        <w:jc w:val="both"/>
        <w:rPr>
          <w:sz w:val="15"/>
          <w:szCs w:val="15"/>
          <w:lang w:eastAsia="zh-CN"/>
        </w:rPr>
      </w:pPr>
      <w:r>
        <w:rPr>
          <w:rFonts w:hAnsi="宋体"/>
          <w:snapToGrid w:val="0"/>
          <w:spacing w:val="2"/>
          <w:kern w:val="2"/>
          <w:sz w:val="15"/>
          <w:szCs w:val="15"/>
          <w:lang w:eastAsia="zh-CN"/>
        </w:rPr>
        <w:t>作者简介：</w:t>
      </w:r>
      <w:bookmarkStart w:id="7" w:name="_Hlk521923786"/>
      <w:r>
        <w:rPr>
          <w:rFonts w:hint="eastAsia" w:hAnsi="宋体"/>
          <w:snapToGrid w:val="0"/>
          <w:spacing w:val="2"/>
          <w:kern w:val="2"/>
          <w:sz w:val="15"/>
          <w:szCs w:val="15"/>
          <w:lang w:eastAsia="zh-CN"/>
        </w:rPr>
        <w:t>姓名</w:t>
      </w:r>
      <w:r>
        <w:rPr>
          <w:rFonts w:hAnsi="宋体"/>
          <w:sz w:val="15"/>
          <w:szCs w:val="15"/>
          <w:lang w:eastAsia="zh-CN"/>
        </w:rPr>
        <w:t>，</w:t>
      </w:r>
      <w:r>
        <w:rPr>
          <w:rFonts w:hint="eastAsia" w:hAnsi="宋体"/>
          <w:sz w:val="15"/>
          <w:szCs w:val="15"/>
          <w:lang w:eastAsia="zh-CN"/>
        </w:rPr>
        <w:t>学位或目前学历</w:t>
      </w:r>
      <w:r>
        <w:rPr>
          <w:rFonts w:hAnsi="宋体"/>
          <w:sz w:val="15"/>
          <w:szCs w:val="15"/>
          <w:lang w:eastAsia="zh-CN"/>
        </w:rPr>
        <w:t>，</w:t>
      </w:r>
      <w:r>
        <w:rPr>
          <w:rFonts w:hint="eastAsia" w:hAnsi="宋体"/>
          <w:sz w:val="15"/>
          <w:szCs w:val="15"/>
          <w:lang w:eastAsia="zh-CN"/>
        </w:rPr>
        <w:t>职称</w:t>
      </w:r>
      <w:r>
        <w:rPr>
          <w:rFonts w:hAnsi="宋体"/>
          <w:sz w:val="15"/>
          <w:szCs w:val="15"/>
          <w:lang w:eastAsia="zh-CN"/>
        </w:rPr>
        <w:t>，研究方向</w:t>
      </w:r>
      <w:r>
        <w:rPr>
          <w:rFonts w:hint="eastAsia" w:hAnsi="宋体"/>
          <w:sz w:val="15"/>
          <w:szCs w:val="15"/>
          <w:lang w:eastAsia="zh-CN"/>
        </w:rPr>
        <w:t>为</w:t>
      </w:r>
      <w:r>
        <w:rPr>
          <w:rFonts w:hAnsi="宋体"/>
          <w:sz w:val="15"/>
          <w:szCs w:val="15"/>
          <w:lang w:eastAsia="zh-CN"/>
        </w:rPr>
        <w:t>……</w:t>
      </w:r>
      <w:r>
        <w:rPr>
          <w:rFonts w:hint="eastAsia" w:hAnsi="宋体"/>
          <w:sz w:val="15"/>
          <w:szCs w:val="15"/>
          <w:lang w:eastAsia="zh-CN"/>
        </w:rPr>
        <w:t>。</w:t>
      </w:r>
      <w:r>
        <w:rPr>
          <w:sz w:val="15"/>
          <w:szCs w:val="15"/>
          <w:lang w:eastAsia="zh-CN"/>
        </w:rPr>
        <w:t>E</w:t>
      </w:r>
      <w:r>
        <w:rPr>
          <w:rFonts w:hint="eastAsia"/>
          <w:sz w:val="15"/>
          <w:szCs w:val="15"/>
          <w:lang w:eastAsia="zh-CN"/>
        </w:rPr>
        <w:t>-</w:t>
      </w:r>
      <w:r>
        <w:rPr>
          <w:sz w:val="15"/>
          <w:szCs w:val="15"/>
          <w:lang w:eastAsia="zh-CN"/>
        </w:rPr>
        <w:t>mail</w:t>
      </w:r>
      <w:bookmarkEnd w:id="7"/>
      <w:r>
        <w:rPr>
          <w:rFonts w:hint="eastAsia"/>
          <w:sz w:val="15"/>
          <w:szCs w:val="15"/>
          <w:lang w:eastAsia="zh-CN"/>
        </w:rPr>
        <w:t>：</w:t>
      </w:r>
    </w:p>
    <w:p w14:paraId="0C0DE3E9">
      <w:pPr>
        <w:pStyle w:val="15"/>
        <w:adjustRightInd w:val="0"/>
        <w:spacing w:line="288" w:lineRule="auto"/>
        <w:jc w:val="both"/>
        <w:rPr>
          <w:sz w:val="15"/>
          <w:szCs w:val="15"/>
          <w:lang w:eastAsia="zh-CN"/>
        </w:rPr>
      </w:pPr>
      <w:r>
        <w:rPr>
          <w:rFonts w:hint="eastAsia" w:hAnsi="宋体"/>
          <w:snapToGrid w:val="0"/>
          <w:spacing w:val="2"/>
          <w:kern w:val="2"/>
          <w:sz w:val="15"/>
          <w:szCs w:val="15"/>
          <w:lang w:eastAsia="zh-CN"/>
        </w:rPr>
        <w:t>*通信作者：姓名</w:t>
      </w:r>
      <w:r>
        <w:rPr>
          <w:rFonts w:hAnsi="宋体"/>
          <w:sz w:val="15"/>
          <w:szCs w:val="15"/>
          <w:lang w:eastAsia="zh-CN"/>
        </w:rPr>
        <w:t>，</w:t>
      </w:r>
      <w:r>
        <w:rPr>
          <w:rFonts w:hint="eastAsia" w:hAnsi="宋体"/>
          <w:sz w:val="15"/>
          <w:szCs w:val="15"/>
          <w:lang w:eastAsia="zh-CN"/>
        </w:rPr>
        <w:t>学位或目前学历</w:t>
      </w:r>
      <w:r>
        <w:rPr>
          <w:rFonts w:hAnsi="宋体"/>
          <w:sz w:val="15"/>
          <w:szCs w:val="15"/>
          <w:lang w:eastAsia="zh-CN"/>
        </w:rPr>
        <w:t>，</w:t>
      </w:r>
      <w:r>
        <w:rPr>
          <w:rFonts w:hint="eastAsia" w:hAnsi="宋体"/>
          <w:sz w:val="15"/>
          <w:szCs w:val="15"/>
          <w:lang w:eastAsia="zh-CN"/>
        </w:rPr>
        <w:t>职称</w:t>
      </w:r>
      <w:r>
        <w:rPr>
          <w:rFonts w:hAnsi="宋体"/>
          <w:sz w:val="15"/>
          <w:szCs w:val="15"/>
          <w:lang w:eastAsia="zh-CN"/>
        </w:rPr>
        <w:t>，研究方向</w:t>
      </w:r>
      <w:r>
        <w:rPr>
          <w:rFonts w:hint="eastAsia" w:hAnsi="宋体"/>
          <w:sz w:val="15"/>
          <w:szCs w:val="15"/>
          <w:lang w:eastAsia="zh-CN"/>
        </w:rPr>
        <w:t>为</w:t>
      </w:r>
      <w:r>
        <w:rPr>
          <w:rFonts w:hAnsi="宋体"/>
          <w:sz w:val="15"/>
          <w:szCs w:val="15"/>
          <w:lang w:eastAsia="zh-CN"/>
        </w:rPr>
        <w:t>……</w:t>
      </w:r>
      <w:r>
        <w:rPr>
          <w:rFonts w:hint="eastAsia" w:hAnsi="宋体"/>
          <w:sz w:val="15"/>
          <w:szCs w:val="15"/>
          <w:lang w:eastAsia="zh-CN"/>
        </w:rPr>
        <w:t>。</w:t>
      </w:r>
      <w:r>
        <w:rPr>
          <w:sz w:val="15"/>
          <w:szCs w:val="15"/>
          <w:lang w:eastAsia="zh-CN"/>
        </w:rPr>
        <w:t>E</w:t>
      </w:r>
      <w:r>
        <w:rPr>
          <w:rFonts w:hint="eastAsia"/>
          <w:sz w:val="15"/>
          <w:szCs w:val="15"/>
          <w:lang w:eastAsia="zh-CN"/>
        </w:rPr>
        <w:t>-</w:t>
      </w:r>
      <w:r>
        <w:rPr>
          <w:sz w:val="15"/>
          <w:szCs w:val="15"/>
          <w:lang w:eastAsia="zh-CN"/>
        </w:rPr>
        <w:t>mail</w:t>
      </w:r>
      <w:r>
        <w:rPr>
          <w:rFonts w:hint="eastAsia" w:hAnsi="宋体"/>
          <w:snapToGrid w:val="0"/>
          <w:spacing w:val="2"/>
          <w:kern w:val="2"/>
          <w:sz w:val="15"/>
          <w:szCs w:val="15"/>
          <w:lang w:eastAsia="zh-CN"/>
        </w:rPr>
        <w:t>：（宋体，六号）</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2F0A22"/>
    <w:multiLevelType w:val="multilevel"/>
    <w:tmpl w:val="182F0A22"/>
    <w:lvl w:ilvl="0" w:tentative="0">
      <w:start w:val="1"/>
      <w:numFmt w:val="decimal"/>
      <w:pStyle w:val="38"/>
      <w:lvlText w:val="%1."/>
      <w:lvlJc w:val="left"/>
      <w:pPr>
        <w:tabs>
          <w:tab w:val="left" w:pos="540"/>
        </w:tabs>
        <w:ind w:left="520" w:hanging="340"/>
      </w:pPr>
      <w:rPr>
        <w:rFonts w:hint="default"/>
      </w:rPr>
    </w:lvl>
    <w:lvl w:ilvl="1" w:tentative="0">
      <w:start w:val="1"/>
      <w:numFmt w:val="lowerLetter"/>
      <w:lvlText w:val="%2."/>
      <w:lvlJc w:val="left"/>
      <w:pPr>
        <w:tabs>
          <w:tab w:val="left" w:pos="1642"/>
        </w:tabs>
        <w:ind w:left="1642" w:hanging="360"/>
      </w:pPr>
    </w:lvl>
    <w:lvl w:ilvl="2" w:tentative="0">
      <w:start w:val="1"/>
      <w:numFmt w:val="lowerRoman"/>
      <w:lvlText w:val="%3."/>
      <w:lvlJc w:val="right"/>
      <w:pPr>
        <w:tabs>
          <w:tab w:val="left" w:pos="2362"/>
        </w:tabs>
        <w:ind w:left="2362" w:hanging="180"/>
      </w:pPr>
    </w:lvl>
    <w:lvl w:ilvl="3" w:tentative="0">
      <w:start w:val="1"/>
      <w:numFmt w:val="decimal"/>
      <w:lvlText w:val="%4."/>
      <w:lvlJc w:val="left"/>
      <w:pPr>
        <w:tabs>
          <w:tab w:val="left" w:pos="3082"/>
        </w:tabs>
        <w:ind w:left="3082" w:hanging="360"/>
      </w:pPr>
    </w:lvl>
    <w:lvl w:ilvl="4" w:tentative="0">
      <w:start w:val="1"/>
      <w:numFmt w:val="lowerLetter"/>
      <w:lvlText w:val="%5."/>
      <w:lvlJc w:val="left"/>
      <w:pPr>
        <w:tabs>
          <w:tab w:val="left" w:pos="3802"/>
        </w:tabs>
        <w:ind w:left="3802" w:hanging="360"/>
      </w:pPr>
    </w:lvl>
    <w:lvl w:ilvl="5" w:tentative="0">
      <w:start w:val="1"/>
      <w:numFmt w:val="lowerRoman"/>
      <w:lvlText w:val="%6."/>
      <w:lvlJc w:val="right"/>
      <w:pPr>
        <w:tabs>
          <w:tab w:val="left" w:pos="4522"/>
        </w:tabs>
        <w:ind w:left="4522" w:hanging="180"/>
      </w:pPr>
    </w:lvl>
    <w:lvl w:ilvl="6" w:tentative="0">
      <w:start w:val="1"/>
      <w:numFmt w:val="decimal"/>
      <w:lvlText w:val="%7."/>
      <w:lvlJc w:val="left"/>
      <w:pPr>
        <w:tabs>
          <w:tab w:val="left" w:pos="5242"/>
        </w:tabs>
        <w:ind w:left="5242" w:hanging="360"/>
      </w:pPr>
    </w:lvl>
    <w:lvl w:ilvl="7" w:tentative="0">
      <w:start w:val="1"/>
      <w:numFmt w:val="lowerLetter"/>
      <w:lvlText w:val="%8."/>
      <w:lvlJc w:val="left"/>
      <w:pPr>
        <w:tabs>
          <w:tab w:val="left" w:pos="5962"/>
        </w:tabs>
        <w:ind w:left="5962" w:hanging="360"/>
      </w:pPr>
    </w:lvl>
    <w:lvl w:ilvl="8" w:tentative="0">
      <w:start w:val="1"/>
      <w:numFmt w:val="lowerRoman"/>
      <w:lvlText w:val="%9."/>
      <w:lvlJc w:val="right"/>
      <w:pPr>
        <w:tabs>
          <w:tab w:val="left" w:pos="6682"/>
        </w:tabs>
        <w:ind w:left="6682" w:hanging="180"/>
      </w:pPr>
    </w:lvl>
  </w:abstractNum>
  <w:abstractNum w:abstractNumId="1">
    <w:nsid w:val="3A895502"/>
    <w:multiLevelType w:val="multilevel"/>
    <w:tmpl w:val="3A895502"/>
    <w:lvl w:ilvl="0" w:tentative="0">
      <w:start w:val="1"/>
      <w:numFmt w:val="decimal"/>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51143224"/>
    <w:multiLevelType w:val="multilevel"/>
    <w:tmpl w:val="51143224"/>
    <w:lvl w:ilvl="0" w:tentative="0">
      <w:start w:val="1"/>
      <w:numFmt w:val="none"/>
      <w:pStyle w:val="28"/>
      <w:lvlText w:val="关键词："/>
      <w:lvlJc w:val="left"/>
      <w:pPr>
        <w:tabs>
          <w:tab w:val="left" w:pos="1500"/>
        </w:tabs>
        <w:ind w:left="840" w:hanging="420"/>
      </w:pPr>
      <w:rPr>
        <w:rFonts w:hint="eastAsia" w:eastAsia="黑体"/>
        <w:b/>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52722782"/>
    <w:multiLevelType w:val="multilevel"/>
    <w:tmpl w:val="52722782"/>
    <w:lvl w:ilvl="0" w:tentative="0">
      <w:start w:val="1"/>
      <w:numFmt w:val="decimal"/>
      <w:pStyle w:val="35"/>
      <w:lvlText w:val="%1"/>
      <w:lvlJc w:val="center"/>
      <w:pPr>
        <w:tabs>
          <w:tab w:val="left" w:pos="425"/>
        </w:tabs>
        <w:ind w:left="425" w:hanging="137"/>
      </w:pPr>
      <w:rPr>
        <w:rFonts w:hint="eastAsia" w:eastAsia="楷体_GB2312"/>
        <w:b w:val="0"/>
        <w:i w:val="0"/>
        <w:sz w:val="52"/>
        <w:szCs w:val="52"/>
      </w:rPr>
    </w:lvl>
    <w:lvl w:ilvl="1" w:tentative="0">
      <w:start w:val="1"/>
      <w:numFmt w:val="decimal"/>
      <w:lvlText w:val="%1.%2"/>
      <w:lvlJc w:val="left"/>
      <w:pPr>
        <w:tabs>
          <w:tab w:val="left" w:pos="567"/>
        </w:tabs>
        <w:ind w:left="567" w:hanging="567"/>
      </w:pPr>
      <w:rPr>
        <w:rFonts w:hint="eastAsia" w:eastAsia="仿宋_GB2312"/>
        <w:b/>
        <w:i w:val="0"/>
        <w:sz w:val="21"/>
        <w:szCs w:val="21"/>
      </w:rPr>
    </w:lvl>
    <w:lvl w:ilvl="2" w:tentative="0">
      <w:start w:val="1"/>
      <w:numFmt w:val="decimal"/>
      <w:lvlText w:val="%1.%2.%3"/>
      <w:lvlJc w:val="left"/>
      <w:pPr>
        <w:tabs>
          <w:tab w:val="left" w:pos="709"/>
        </w:tabs>
        <w:ind w:left="709" w:hanging="709"/>
      </w:pPr>
      <w:rPr>
        <w:rFonts w:hint="eastAsia" w:eastAsia="黑体"/>
        <w:sz w:val="18"/>
        <w:szCs w:val="18"/>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7D447A9C"/>
    <w:multiLevelType w:val="multilevel"/>
    <w:tmpl w:val="7D447A9C"/>
    <w:lvl w:ilvl="0" w:tentative="0">
      <w:start w:val="1"/>
      <w:numFmt w:val="none"/>
      <w:pStyle w:val="27"/>
      <w:lvlText w:val="摘  要："/>
      <w:lvlJc w:val="left"/>
      <w:pPr>
        <w:tabs>
          <w:tab w:val="left" w:pos="720"/>
        </w:tabs>
        <w:ind w:left="420" w:hanging="420"/>
      </w:pPr>
      <w:rPr>
        <w:rFonts w:hint="eastAsia" w:eastAsia="黑体"/>
        <w:b/>
        <w:i w:val="0"/>
        <w:sz w:val="18"/>
      </w:rPr>
    </w:lvl>
    <w:lvl w:ilvl="1" w:tentative="0">
      <w:start w:val="1"/>
      <w:numFmt w:val="none"/>
      <w:lvlText w:val="关键词："/>
      <w:lvlJc w:val="left"/>
      <w:pPr>
        <w:tabs>
          <w:tab w:val="left" w:pos="1500"/>
        </w:tabs>
        <w:ind w:left="840" w:hanging="420"/>
      </w:pPr>
      <w:rPr>
        <w:rFonts w:hint="eastAsia" w:eastAsia="黑体"/>
        <w:b/>
        <w:i w:val="0"/>
        <w:sz w:val="18"/>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9"/>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noLineBreaksAfter w:lang="zh-CN" w:val="([{·‘“〈《「『【〔〖（．［｛￡￥"/>
  <w:noLineBreaksBefore w:lang="zh-CN" w:val="!),.:;?]}¨·ˇˉ―‖’”…℃∶、。〃々〉》」』】〕〗！＂＇），．：；？］｀｜｝～￠"/>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YxN2Y1OTE1NmI0NDQ4NjJjMTFkYjcyMDQwODZkOWUifQ=="/>
  </w:docVars>
  <w:rsids>
    <w:rsidRoot w:val="00130452"/>
    <w:rsid w:val="00000DBC"/>
    <w:rsid w:val="000020F1"/>
    <w:rsid w:val="00002DBC"/>
    <w:rsid w:val="000054B4"/>
    <w:rsid w:val="000079AF"/>
    <w:rsid w:val="000112DD"/>
    <w:rsid w:val="00012D41"/>
    <w:rsid w:val="000156FD"/>
    <w:rsid w:val="00015EAD"/>
    <w:rsid w:val="00016074"/>
    <w:rsid w:val="000172ED"/>
    <w:rsid w:val="00020658"/>
    <w:rsid w:val="0002184B"/>
    <w:rsid w:val="00021DC1"/>
    <w:rsid w:val="000222B8"/>
    <w:rsid w:val="00025347"/>
    <w:rsid w:val="00026109"/>
    <w:rsid w:val="00030691"/>
    <w:rsid w:val="000306AF"/>
    <w:rsid w:val="0003232F"/>
    <w:rsid w:val="000328DE"/>
    <w:rsid w:val="00032F8B"/>
    <w:rsid w:val="0003616A"/>
    <w:rsid w:val="00036924"/>
    <w:rsid w:val="000404B5"/>
    <w:rsid w:val="000436BA"/>
    <w:rsid w:val="00045F9B"/>
    <w:rsid w:val="00047496"/>
    <w:rsid w:val="00051F56"/>
    <w:rsid w:val="0005307D"/>
    <w:rsid w:val="0005588E"/>
    <w:rsid w:val="00056470"/>
    <w:rsid w:val="00057078"/>
    <w:rsid w:val="00057D47"/>
    <w:rsid w:val="000617BA"/>
    <w:rsid w:val="00062F16"/>
    <w:rsid w:val="00066F9C"/>
    <w:rsid w:val="00067FD1"/>
    <w:rsid w:val="00071E5B"/>
    <w:rsid w:val="00075DB4"/>
    <w:rsid w:val="000816F2"/>
    <w:rsid w:val="00083698"/>
    <w:rsid w:val="00084374"/>
    <w:rsid w:val="0008537C"/>
    <w:rsid w:val="00085F6D"/>
    <w:rsid w:val="00086697"/>
    <w:rsid w:val="0009150F"/>
    <w:rsid w:val="00091E04"/>
    <w:rsid w:val="000932C9"/>
    <w:rsid w:val="000933FF"/>
    <w:rsid w:val="0009472A"/>
    <w:rsid w:val="00095881"/>
    <w:rsid w:val="000971BC"/>
    <w:rsid w:val="000A03A8"/>
    <w:rsid w:val="000A12B2"/>
    <w:rsid w:val="000A18F1"/>
    <w:rsid w:val="000A1FCF"/>
    <w:rsid w:val="000A47FB"/>
    <w:rsid w:val="000B0B2B"/>
    <w:rsid w:val="000B43C0"/>
    <w:rsid w:val="000B4B8D"/>
    <w:rsid w:val="000B7B51"/>
    <w:rsid w:val="000C0233"/>
    <w:rsid w:val="000C14E4"/>
    <w:rsid w:val="000C1BB0"/>
    <w:rsid w:val="000C278A"/>
    <w:rsid w:val="000C34C5"/>
    <w:rsid w:val="000C5B05"/>
    <w:rsid w:val="000C6EB3"/>
    <w:rsid w:val="000C7DC7"/>
    <w:rsid w:val="000D0698"/>
    <w:rsid w:val="000D0CA4"/>
    <w:rsid w:val="000D155B"/>
    <w:rsid w:val="000D1768"/>
    <w:rsid w:val="000D2320"/>
    <w:rsid w:val="000D26D9"/>
    <w:rsid w:val="000D3C74"/>
    <w:rsid w:val="000D40F1"/>
    <w:rsid w:val="000D5F2A"/>
    <w:rsid w:val="000D5F61"/>
    <w:rsid w:val="000E0B60"/>
    <w:rsid w:val="000E45A7"/>
    <w:rsid w:val="000E473B"/>
    <w:rsid w:val="000E48D0"/>
    <w:rsid w:val="000E4E9C"/>
    <w:rsid w:val="000E506E"/>
    <w:rsid w:val="000F30BA"/>
    <w:rsid w:val="000F4D6A"/>
    <w:rsid w:val="000F5535"/>
    <w:rsid w:val="000F5FB6"/>
    <w:rsid w:val="000F6539"/>
    <w:rsid w:val="001037BD"/>
    <w:rsid w:val="00104900"/>
    <w:rsid w:val="001060F1"/>
    <w:rsid w:val="00110C50"/>
    <w:rsid w:val="001143FB"/>
    <w:rsid w:val="0011513C"/>
    <w:rsid w:val="0011675A"/>
    <w:rsid w:val="001170C9"/>
    <w:rsid w:val="00121156"/>
    <w:rsid w:val="00121E4D"/>
    <w:rsid w:val="001227F6"/>
    <w:rsid w:val="001230F7"/>
    <w:rsid w:val="001246F0"/>
    <w:rsid w:val="00124BFA"/>
    <w:rsid w:val="00126F10"/>
    <w:rsid w:val="00130452"/>
    <w:rsid w:val="00132A3D"/>
    <w:rsid w:val="00133F65"/>
    <w:rsid w:val="00136A20"/>
    <w:rsid w:val="001407EE"/>
    <w:rsid w:val="00140D8E"/>
    <w:rsid w:val="00141642"/>
    <w:rsid w:val="00143923"/>
    <w:rsid w:val="00143CDB"/>
    <w:rsid w:val="00144045"/>
    <w:rsid w:val="00145CAF"/>
    <w:rsid w:val="0014618D"/>
    <w:rsid w:val="00147116"/>
    <w:rsid w:val="001503EF"/>
    <w:rsid w:val="001507F2"/>
    <w:rsid w:val="00150FBD"/>
    <w:rsid w:val="00152794"/>
    <w:rsid w:val="00152F51"/>
    <w:rsid w:val="001536A1"/>
    <w:rsid w:val="001539EA"/>
    <w:rsid w:val="00153B22"/>
    <w:rsid w:val="00154832"/>
    <w:rsid w:val="00154B57"/>
    <w:rsid w:val="00156339"/>
    <w:rsid w:val="001566F0"/>
    <w:rsid w:val="0015774B"/>
    <w:rsid w:val="00160ED7"/>
    <w:rsid w:val="00160F93"/>
    <w:rsid w:val="00161201"/>
    <w:rsid w:val="001633CC"/>
    <w:rsid w:val="0016391A"/>
    <w:rsid w:val="001659A5"/>
    <w:rsid w:val="00167A17"/>
    <w:rsid w:val="00170553"/>
    <w:rsid w:val="00170FCB"/>
    <w:rsid w:val="00171566"/>
    <w:rsid w:val="00171D89"/>
    <w:rsid w:val="001724BB"/>
    <w:rsid w:val="00172D99"/>
    <w:rsid w:val="00174276"/>
    <w:rsid w:val="0017461A"/>
    <w:rsid w:val="001749BD"/>
    <w:rsid w:val="0017600E"/>
    <w:rsid w:val="00176E70"/>
    <w:rsid w:val="00181D5D"/>
    <w:rsid w:val="00184A73"/>
    <w:rsid w:val="00186414"/>
    <w:rsid w:val="00186985"/>
    <w:rsid w:val="00190693"/>
    <w:rsid w:val="001930E4"/>
    <w:rsid w:val="001939F2"/>
    <w:rsid w:val="00194530"/>
    <w:rsid w:val="00195117"/>
    <w:rsid w:val="00196A9D"/>
    <w:rsid w:val="00197019"/>
    <w:rsid w:val="001A1A10"/>
    <w:rsid w:val="001A24F8"/>
    <w:rsid w:val="001A42C2"/>
    <w:rsid w:val="001A4E97"/>
    <w:rsid w:val="001A535C"/>
    <w:rsid w:val="001A60F9"/>
    <w:rsid w:val="001A68C3"/>
    <w:rsid w:val="001A780E"/>
    <w:rsid w:val="001B04B7"/>
    <w:rsid w:val="001B141E"/>
    <w:rsid w:val="001B39A5"/>
    <w:rsid w:val="001B6085"/>
    <w:rsid w:val="001B65FA"/>
    <w:rsid w:val="001C17BA"/>
    <w:rsid w:val="001C29B8"/>
    <w:rsid w:val="001C3BDC"/>
    <w:rsid w:val="001C4B95"/>
    <w:rsid w:val="001D044D"/>
    <w:rsid w:val="001D28B1"/>
    <w:rsid w:val="001D3A4A"/>
    <w:rsid w:val="001D45AD"/>
    <w:rsid w:val="001D6937"/>
    <w:rsid w:val="001D6BFD"/>
    <w:rsid w:val="001D7FFD"/>
    <w:rsid w:val="001E2863"/>
    <w:rsid w:val="001E5F72"/>
    <w:rsid w:val="001E6102"/>
    <w:rsid w:val="001E64C5"/>
    <w:rsid w:val="001E67E3"/>
    <w:rsid w:val="001F072F"/>
    <w:rsid w:val="001F33A6"/>
    <w:rsid w:val="001F365D"/>
    <w:rsid w:val="001F38CD"/>
    <w:rsid w:val="001F474C"/>
    <w:rsid w:val="001F5807"/>
    <w:rsid w:val="001F7561"/>
    <w:rsid w:val="00202BEC"/>
    <w:rsid w:val="002109E3"/>
    <w:rsid w:val="00210AA2"/>
    <w:rsid w:val="00213521"/>
    <w:rsid w:val="002225D6"/>
    <w:rsid w:val="0022373B"/>
    <w:rsid w:val="00223916"/>
    <w:rsid w:val="0022457A"/>
    <w:rsid w:val="00226444"/>
    <w:rsid w:val="00227B80"/>
    <w:rsid w:val="002343D8"/>
    <w:rsid w:val="0023501D"/>
    <w:rsid w:val="002352B7"/>
    <w:rsid w:val="0023551D"/>
    <w:rsid w:val="00235B59"/>
    <w:rsid w:val="00237C7F"/>
    <w:rsid w:val="00237FDE"/>
    <w:rsid w:val="00242AF1"/>
    <w:rsid w:val="00243113"/>
    <w:rsid w:val="00243F5A"/>
    <w:rsid w:val="00244F6D"/>
    <w:rsid w:val="00247931"/>
    <w:rsid w:val="00252A89"/>
    <w:rsid w:val="00253DFA"/>
    <w:rsid w:val="00256975"/>
    <w:rsid w:val="00256A34"/>
    <w:rsid w:val="0025772E"/>
    <w:rsid w:val="00257BCC"/>
    <w:rsid w:val="0026019B"/>
    <w:rsid w:val="00265B72"/>
    <w:rsid w:val="0027035A"/>
    <w:rsid w:val="0027151A"/>
    <w:rsid w:val="002722EC"/>
    <w:rsid w:val="002736BB"/>
    <w:rsid w:val="002763D3"/>
    <w:rsid w:val="00276CA8"/>
    <w:rsid w:val="00276E9E"/>
    <w:rsid w:val="002773EC"/>
    <w:rsid w:val="00281ED0"/>
    <w:rsid w:val="0028222C"/>
    <w:rsid w:val="00282DB3"/>
    <w:rsid w:val="002855FA"/>
    <w:rsid w:val="00286D95"/>
    <w:rsid w:val="00292EC6"/>
    <w:rsid w:val="00293CF7"/>
    <w:rsid w:val="00297617"/>
    <w:rsid w:val="002A11C2"/>
    <w:rsid w:val="002A1CC8"/>
    <w:rsid w:val="002A3014"/>
    <w:rsid w:val="002A4896"/>
    <w:rsid w:val="002A54DC"/>
    <w:rsid w:val="002A6A32"/>
    <w:rsid w:val="002A7C97"/>
    <w:rsid w:val="002B20B9"/>
    <w:rsid w:val="002B236B"/>
    <w:rsid w:val="002B3A8E"/>
    <w:rsid w:val="002B4B6C"/>
    <w:rsid w:val="002B6B4B"/>
    <w:rsid w:val="002B7190"/>
    <w:rsid w:val="002B7964"/>
    <w:rsid w:val="002C186D"/>
    <w:rsid w:val="002C196E"/>
    <w:rsid w:val="002C2A41"/>
    <w:rsid w:val="002C3672"/>
    <w:rsid w:val="002C3D7B"/>
    <w:rsid w:val="002C3DD0"/>
    <w:rsid w:val="002D26C3"/>
    <w:rsid w:val="002D4A59"/>
    <w:rsid w:val="002D73A4"/>
    <w:rsid w:val="002D75CB"/>
    <w:rsid w:val="002E0753"/>
    <w:rsid w:val="002E07A6"/>
    <w:rsid w:val="002E1D3E"/>
    <w:rsid w:val="002E3334"/>
    <w:rsid w:val="002E5DD4"/>
    <w:rsid w:val="002F2BB8"/>
    <w:rsid w:val="002F2E9D"/>
    <w:rsid w:val="002F4AF8"/>
    <w:rsid w:val="002F5E7C"/>
    <w:rsid w:val="002F6079"/>
    <w:rsid w:val="002F79A9"/>
    <w:rsid w:val="00300926"/>
    <w:rsid w:val="00302DEA"/>
    <w:rsid w:val="00303DE6"/>
    <w:rsid w:val="00305EBA"/>
    <w:rsid w:val="003112B4"/>
    <w:rsid w:val="00316FB1"/>
    <w:rsid w:val="00317286"/>
    <w:rsid w:val="00317694"/>
    <w:rsid w:val="00317E5D"/>
    <w:rsid w:val="00320FB3"/>
    <w:rsid w:val="00323A7B"/>
    <w:rsid w:val="0032493F"/>
    <w:rsid w:val="0032504A"/>
    <w:rsid w:val="00325343"/>
    <w:rsid w:val="00331227"/>
    <w:rsid w:val="00332534"/>
    <w:rsid w:val="00333B83"/>
    <w:rsid w:val="00336102"/>
    <w:rsid w:val="00340160"/>
    <w:rsid w:val="003402E2"/>
    <w:rsid w:val="00341791"/>
    <w:rsid w:val="003417B3"/>
    <w:rsid w:val="00343446"/>
    <w:rsid w:val="00343FF9"/>
    <w:rsid w:val="00344C26"/>
    <w:rsid w:val="003468AF"/>
    <w:rsid w:val="00347624"/>
    <w:rsid w:val="00347943"/>
    <w:rsid w:val="00347E85"/>
    <w:rsid w:val="00350A59"/>
    <w:rsid w:val="00357A22"/>
    <w:rsid w:val="00360080"/>
    <w:rsid w:val="00361DFD"/>
    <w:rsid w:val="00361F5E"/>
    <w:rsid w:val="003655CB"/>
    <w:rsid w:val="003657D2"/>
    <w:rsid w:val="00366212"/>
    <w:rsid w:val="003665F4"/>
    <w:rsid w:val="00370DC9"/>
    <w:rsid w:val="003726EB"/>
    <w:rsid w:val="00374133"/>
    <w:rsid w:val="0037615C"/>
    <w:rsid w:val="00376266"/>
    <w:rsid w:val="00377EFF"/>
    <w:rsid w:val="0038556C"/>
    <w:rsid w:val="00385F3F"/>
    <w:rsid w:val="00387290"/>
    <w:rsid w:val="003877C0"/>
    <w:rsid w:val="00390574"/>
    <w:rsid w:val="00390681"/>
    <w:rsid w:val="003937F0"/>
    <w:rsid w:val="00393845"/>
    <w:rsid w:val="00394645"/>
    <w:rsid w:val="003956B0"/>
    <w:rsid w:val="003A548A"/>
    <w:rsid w:val="003A7722"/>
    <w:rsid w:val="003B01D1"/>
    <w:rsid w:val="003B0926"/>
    <w:rsid w:val="003B0DA6"/>
    <w:rsid w:val="003B2447"/>
    <w:rsid w:val="003B3201"/>
    <w:rsid w:val="003B321F"/>
    <w:rsid w:val="003B42CE"/>
    <w:rsid w:val="003B6AA2"/>
    <w:rsid w:val="003B7266"/>
    <w:rsid w:val="003C0BD1"/>
    <w:rsid w:val="003C150E"/>
    <w:rsid w:val="003C22BA"/>
    <w:rsid w:val="003C3B48"/>
    <w:rsid w:val="003C55BA"/>
    <w:rsid w:val="003C6C40"/>
    <w:rsid w:val="003D056D"/>
    <w:rsid w:val="003D1170"/>
    <w:rsid w:val="003D36DA"/>
    <w:rsid w:val="003D606E"/>
    <w:rsid w:val="003D60D2"/>
    <w:rsid w:val="003E03BD"/>
    <w:rsid w:val="003E0866"/>
    <w:rsid w:val="003E0FC7"/>
    <w:rsid w:val="003E23C9"/>
    <w:rsid w:val="003E4B8B"/>
    <w:rsid w:val="003E55E0"/>
    <w:rsid w:val="003E591A"/>
    <w:rsid w:val="003E5B27"/>
    <w:rsid w:val="003E630B"/>
    <w:rsid w:val="003E76B1"/>
    <w:rsid w:val="003F181F"/>
    <w:rsid w:val="003F2E18"/>
    <w:rsid w:val="003F5C18"/>
    <w:rsid w:val="003F5DBC"/>
    <w:rsid w:val="003F6BD4"/>
    <w:rsid w:val="00401F58"/>
    <w:rsid w:val="00403204"/>
    <w:rsid w:val="00403726"/>
    <w:rsid w:val="0040460C"/>
    <w:rsid w:val="00404EEF"/>
    <w:rsid w:val="0040579D"/>
    <w:rsid w:val="0040776D"/>
    <w:rsid w:val="00411759"/>
    <w:rsid w:val="004153C6"/>
    <w:rsid w:val="004251B3"/>
    <w:rsid w:val="004257EA"/>
    <w:rsid w:val="0042595E"/>
    <w:rsid w:val="00425EF3"/>
    <w:rsid w:val="00427CD6"/>
    <w:rsid w:val="004306D7"/>
    <w:rsid w:val="00432157"/>
    <w:rsid w:val="00433168"/>
    <w:rsid w:val="00436C16"/>
    <w:rsid w:val="00436FF6"/>
    <w:rsid w:val="00437313"/>
    <w:rsid w:val="004402EC"/>
    <w:rsid w:val="00442020"/>
    <w:rsid w:val="0044328F"/>
    <w:rsid w:val="00445F51"/>
    <w:rsid w:val="00446536"/>
    <w:rsid w:val="004469E0"/>
    <w:rsid w:val="00452640"/>
    <w:rsid w:val="00453705"/>
    <w:rsid w:val="004542DB"/>
    <w:rsid w:val="00455316"/>
    <w:rsid w:val="004553A2"/>
    <w:rsid w:val="00457548"/>
    <w:rsid w:val="004607D4"/>
    <w:rsid w:val="004626F7"/>
    <w:rsid w:val="00462FE9"/>
    <w:rsid w:val="00463204"/>
    <w:rsid w:val="00466D20"/>
    <w:rsid w:val="004675E4"/>
    <w:rsid w:val="004727A1"/>
    <w:rsid w:val="0047349E"/>
    <w:rsid w:val="004812D1"/>
    <w:rsid w:val="00484519"/>
    <w:rsid w:val="00485DBF"/>
    <w:rsid w:val="00496CBA"/>
    <w:rsid w:val="00496DB4"/>
    <w:rsid w:val="004A02FE"/>
    <w:rsid w:val="004A1174"/>
    <w:rsid w:val="004A1368"/>
    <w:rsid w:val="004A51E7"/>
    <w:rsid w:val="004A77E0"/>
    <w:rsid w:val="004B06C5"/>
    <w:rsid w:val="004B07FF"/>
    <w:rsid w:val="004B0B6C"/>
    <w:rsid w:val="004B0C81"/>
    <w:rsid w:val="004B2F16"/>
    <w:rsid w:val="004B491A"/>
    <w:rsid w:val="004B54B0"/>
    <w:rsid w:val="004B5F9E"/>
    <w:rsid w:val="004B6CB7"/>
    <w:rsid w:val="004B7AE0"/>
    <w:rsid w:val="004C3555"/>
    <w:rsid w:val="004C3CEC"/>
    <w:rsid w:val="004C6B36"/>
    <w:rsid w:val="004C7395"/>
    <w:rsid w:val="004C7DB4"/>
    <w:rsid w:val="004D005C"/>
    <w:rsid w:val="004D0598"/>
    <w:rsid w:val="004D1EFA"/>
    <w:rsid w:val="004D279A"/>
    <w:rsid w:val="004D53C3"/>
    <w:rsid w:val="004D5636"/>
    <w:rsid w:val="004D5A31"/>
    <w:rsid w:val="004D61FE"/>
    <w:rsid w:val="004D7B0B"/>
    <w:rsid w:val="004E0821"/>
    <w:rsid w:val="004E2FA9"/>
    <w:rsid w:val="004E4223"/>
    <w:rsid w:val="004E4572"/>
    <w:rsid w:val="004E4A1A"/>
    <w:rsid w:val="004E5B22"/>
    <w:rsid w:val="004E7134"/>
    <w:rsid w:val="004F1A3F"/>
    <w:rsid w:val="004F1C40"/>
    <w:rsid w:val="004F44B7"/>
    <w:rsid w:val="004F45A1"/>
    <w:rsid w:val="004F5BFB"/>
    <w:rsid w:val="004F6323"/>
    <w:rsid w:val="004F751C"/>
    <w:rsid w:val="004F7680"/>
    <w:rsid w:val="005029F4"/>
    <w:rsid w:val="005048CE"/>
    <w:rsid w:val="00504F49"/>
    <w:rsid w:val="005077B3"/>
    <w:rsid w:val="00507F40"/>
    <w:rsid w:val="00510194"/>
    <w:rsid w:val="00510968"/>
    <w:rsid w:val="00510D28"/>
    <w:rsid w:val="00514425"/>
    <w:rsid w:val="005147D2"/>
    <w:rsid w:val="005148F9"/>
    <w:rsid w:val="00514EAA"/>
    <w:rsid w:val="00514F51"/>
    <w:rsid w:val="005159DA"/>
    <w:rsid w:val="00521DEB"/>
    <w:rsid w:val="005228FC"/>
    <w:rsid w:val="00522A17"/>
    <w:rsid w:val="005241CF"/>
    <w:rsid w:val="00524C5F"/>
    <w:rsid w:val="00526F28"/>
    <w:rsid w:val="0053277B"/>
    <w:rsid w:val="00535340"/>
    <w:rsid w:val="00537B8F"/>
    <w:rsid w:val="005402FD"/>
    <w:rsid w:val="00542C83"/>
    <w:rsid w:val="00543C78"/>
    <w:rsid w:val="005443B7"/>
    <w:rsid w:val="00544C5F"/>
    <w:rsid w:val="00545054"/>
    <w:rsid w:val="00545706"/>
    <w:rsid w:val="00546F6E"/>
    <w:rsid w:val="0054711F"/>
    <w:rsid w:val="00550AEA"/>
    <w:rsid w:val="005513F8"/>
    <w:rsid w:val="00553577"/>
    <w:rsid w:val="00553641"/>
    <w:rsid w:val="005552D2"/>
    <w:rsid w:val="00556A16"/>
    <w:rsid w:val="00561666"/>
    <w:rsid w:val="00562FBA"/>
    <w:rsid w:val="00563D0A"/>
    <w:rsid w:val="0056527C"/>
    <w:rsid w:val="0056554B"/>
    <w:rsid w:val="005678F4"/>
    <w:rsid w:val="005737EB"/>
    <w:rsid w:val="005744E5"/>
    <w:rsid w:val="00574F63"/>
    <w:rsid w:val="005772FC"/>
    <w:rsid w:val="005779EF"/>
    <w:rsid w:val="00577DED"/>
    <w:rsid w:val="0058016A"/>
    <w:rsid w:val="00582D7D"/>
    <w:rsid w:val="00586AC5"/>
    <w:rsid w:val="005919FE"/>
    <w:rsid w:val="00591A82"/>
    <w:rsid w:val="005964D8"/>
    <w:rsid w:val="005970DB"/>
    <w:rsid w:val="005A0059"/>
    <w:rsid w:val="005A012F"/>
    <w:rsid w:val="005A16A9"/>
    <w:rsid w:val="005A33BF"/>
    <w:rsid w:val="005A6CD7"/>
    <w:rsid w:val="005B0C04"/>
    <w:rsid w:val="005B37C9"/>
    <w:rsid w:val="005B5BFB"/>
    <w:rsid w:val="005B5FF4"/>
    <w:rsid w:val="005B67AD"/>
    <w:rsid w:val="005B7909"/>
    <w:rsid w:val="005C0EA7"/>
    <w:rsid w:val="005C45EE"/>
    <w:rsid w:val="005D5F91"/>
    <w:rsid w:val="005E0BD7"/>
    <w:rsid w:val="005E41F9"/>
    <w:rsid w:val="005E43F4"/>
    <w:rsid w:val="005E539A"/>
    <w:rsid w:val="005E5B4B"/>
    <w:rsid w:val="005F0018"/>
    <w:rsid w:val="005F080B"/>
    <w:rsid w:val="005F3588"/>
    <w:rsid w:val="005F58E4"/>
    <w:rsid w:val="005F6BE8"/>
    <w:rsid w:val="005F71A2"/>
    <w:rsid w:val="006000D8"/>
    <w:rsid w:val="00600719"/>
    <w:rsid w:val="00600BA6"/>
    <w:rsid w:val="00601AE2"/>
    <w:rsid w:val="00601C98"/>
    <w:rsid w:val="00601FA3"/>
    <w:rsid w:val="00602BE9"/>
    <w:rsid w:val="00602D1A"/>
    <w:rsid w:val="0060311E"/>
    <w:rsid w:val="00603B30"/>
    <w:rsid w:val="0060469B"/>
    <w:rsid w:val="0060484C"/>
    <w:rsid w:val="00605989"/>
    <w:rsid w:val="006061C9"/>
    <w:rsid w:val="00606781"/>
    <w:rsid w:val="006074A1"/>
    <w:rsid w:val="0061073F"/>
    <w:rsid w:val="00610DEE"/>
    <w:rsid w:val="00612C91"/>
    <w:rsid w:val="00612E88"/>
    <w:rsid w:val="0061389E"/>
    <w:rsid w:val="00614907"/>
    <w:rsid w:val="006163C9"/>
    <w:rsid w:val="006168D0"/>
    <w:rsid w:val="006169AE"/>
    <w:rsid w:val="00617840"/>
    <w:rsid w:val="00617CB3"/>
    <w:rsid w:val="00620236"/>
    <w:rsid w:val="00621BBF"/>
    <w:rsid w:val="00623704"/>
    <w:rsid w:val="00627189"/>
    <w:rsid w:val="00627727"/>
    <w:rsid w:val="0063103A"/>
    <w:rsid w:val="00631702"/>
    <w:rsid w:val="006331BC"/>
    <w:rsid w:val="00634390"/>
    <w:rsid w:val="00634C71"/>
    <w:rsid w:val="00636B06"/>
    <w:rsid w:val="00640A24"/>
    <w:rsid w:val="00640ADA"/>
    <w:rsid w:val="00641EE5"/>
    <w:rsid w:val="006424F7"/>
    <w:rsid w:val="00645827"/>
    <w:rsid w:val="0064605A"/>
    <w:rsid w:val="00646411"/>
    <w:rsid w:val="00647374"/>
    <w:rsid w:val="00650A17"/>
    <w:rsid w:val="00653894"/>
    <w:rsid w:val="006543FC"/>
    <w:rsid w:val="0065567C"/>
    <w:rsid w:val="00657485"/>
    <w:rsid w:val="006577AE"/>
    <w:rsid w:val="00660768"/>
    <w:rsid w:val="00663252"/>
    <w:rsid w:val="0066358A"/>
    <w:rsid w:val="00664703"/>
    <w:rsid w:val="006648C4"/>
    <w:rsid w:val="00666008"/>
    <w:rsid w:val="006663D9"/>
    <w:rsid w:val="00666652"/>
    <w:rsid w:val="00670D2E"/>
    <w:rsid w:val="0067293F"/>
    <w:rsid w:val="006746D3"/>
    <w:rsid w:val="00674C98"/>
    <w:rsid w:val="00675A6F"/>
    <w:rsid w:val="00676626"/>
    <w:rsid w:val="00677848"/>
    <w:rsid w:val="00680470"/>
    <w:rsid w:val="006826D2"/>
    <w:rsid w:val="00686F3A"/>
    <w:rsid w:val="00691E5F"/>
    <w:rsid w:val="00693893"/>
    <w:rsid w:val="00693A01"/>
    <w:rsid w:val="00694C32"/>
    <w:rsid w:val="00695304"/>
    <w:rsid w:val="006A0C3E"/>
    <w:rsid w:val="006A6D5C"/>
    <w:rsid w:val="006A72E2"/>
    <w:rsid w:val="006A7BF2"/>
    <w:rsid w:val="006C071E"/>
    <w:rsid w:val="006C19CF"/>
    <w:rsid w:val="006C1E80"/>
    <w:rsid w:val="006C3128"/>
    <w:rsid w:val="006C3371"/>
    <w:rsid w:val="006C3B96"/>
    <w:rsid w:val="006C4BFB"/>
    <w:rsid w:val="006C6980"/>
    <w:rsid w:val="006D2AEE"/>
    <w:rsid w:val="006D4A54"/>
    <w:rsid w:val="006D4DB2"/>
    <w:rsid w:val="006D5039"/>
    <w:rsid w:val="006D56B9"/>
    <w:rsid w:val="006D57D2"/>
    <w:rsid w:val="006E2725"/>
    <w:rsid w:val="006E4A91"/>
    <w:rsid w:val="006E4ED2"/>
    <w:rsid w:val="006E63DD"/>
    <w:rsid w:val="006F27B3"/>
    <w:rsid w:val="00701196"/>
    <w:rsid w:val="00703443"/>
    <w:rsid w:val="00704FEE"/>
    <w:rsid w:val="00705815"/>
    <w:rsid w:val="007060F9"/>
    <w:rsid w:val="00706764"/>
    <w:rsid w:val="0070743C"/>
    <w:rsid w:val="00707EA7"/>
    <w:rsid w:val="007102E4"/>
    <w:rsid w:val="00710627"/>
    <w:rsid w:val="00712C62"/>
    <w:rsid w:val="00712DCE"/>
    <w:rsid w:val="00716E4E"/>
    <w:rsid w:val="00717053"/>
    <w:rsid w:val="0072069E"/>
    <w:rsid w:val="00721F6F"/>
    <w:rsid w:val="00724991"/>
    <w:rsid w:val="00725335"/>
    <w:rsid w:val="0072564E"/>
    <w:rsid w:val="00725C5C"/>
    <w:rsid w:val="007270BB"/>
    <w:rsid w:val="00727AAC"/>
    <w:rsid w:val="007304E1"/>
    <w:rsid w:val="00732A7E"/>
    <w:rsid w:val="00733639"/>
    <w:rsid w:val="007342B6"/>
    <w:rsid w:val="00735801"/>
    <w:rsid w:val="00736CB6"/>
    <w:rsid w:val="007471B0"/>
    <w:rsid w:val="007472F1"/>
    <w:rsid w:val="00747AE6"/>
    <w:rsid w:val="00751064"/>
    <w:rsid w:val="00755185"/>
    <w:rsid w:val="007555E0"/>
    <w:rsid w:val="00755E2C"/>
    <w:rsid w:val="007563D7"/>
    <w:rsid w:val="0075649B"/>
    <w:rsid w:val="00762BB2"/>
    <w:rsid w:val="00766EDD"/>
    <w:rsid w:val="00766F78"/>
    <w:rsid w:val="00767FE7"/>
    <w:rsid w:val="00770799"/>
    <w:rsid w:val="00771389"/>
    <w:rsid w:val="0077160B"/>
    <w:rsid w:val="00771938"/>
    <w:rsid w:val="0077309D"/>
    <w:rsid w:val="007731C7"/>
    <w:rsid w:val="007800DD"/>
    <w:rsid w:val="0078265B"/>
    <w:rsid w:val="00783038"/>
    <w:rsid w:val="0078557B"/>
    <w:rsid w:val="00785AAD"/>
    <w:rsid w:val="00787535"/>
    <w:rsid w:val="00790CD4"/>
    <w:rsid w:val="00793C84"/>
    <w:rsid w:val="00794BE0"/>
    <w:rsid w:val="00796A6D"/>
    <w:rsid w:val="007A141D"/>
    <w:rsid w:val="007A2552"/>
    <w:rsid w:val="007A2B0A"/>
    <w:rsid w:val="007A4D08"/>
    <w:rsid w:val="007A5058"/>
    <w:rsid w:val="007A69FB"/>
    <w:rsid w:val="007A737D"/>
    <w:rsid w:val="007A7AE5"/>
    <w:rsid w:val="007A7E1A"/>
    <w:rsid w:val="007B0046"/>
    <w:rsid w:val="007B4519"/>
    <w:rsid w:val="007B6440"/>
    <w:rsid w:val="007C190C"/>
    <w:rsid w:val="007C307C"/>
    <w:rsid w:val="007C4AE7"/>
    <w:rsid w:val="007C4FE6"/>
    <w:rsid w:val="007C570D"/>
    <w:rsid w:val="007C6545"/>
    <w:rsid w:val="007C7288"/>
    <w:rsid w:val="007C72A3"/>
    <w:rsid w:val="007D0306"/>
    <w:rsid w:val="007D1B27"/>
    <w:rsid w:val="007D2438"/>
    <w:rsid w:val="007D3A6A"/>
    <w:rsid w:val="007D4694"/>
    <w:rsid w:val="007D584B"/>
    <w:rsid w:val="007D7C38"/>
    <w:rsid w:val="007E0090"/>
    <w:rsid w:val="007E3994"/>
    <w:rsid w:val="007E7F7B"/>
    <w:rsid w:val="007F10C9"/>
    <w:rsid w:val="007F14A5"/>
    <w:rsid w:val="007F22C4"/>
    <w:rsid w:val="007F3DED"/>
    <w:rsid w:val="007F4250"/>
    <w:rsid w:val="007F4BC0"/>
    <w:rsid w:val="00801071"/>
    <w:rsid w:val="00803E45"/>
    <w:rsid w:val="0080438B"/>
    <w:rsid w:val="00807C87"/>
    <w:rsid w:val="0081167F"/>
    <w:rsid w:val="00811D93"/>
    <w:rsid w:val="00812A28"/>
    <w:rsid w:val="00815536"/>
    <w:rsid w:val="00820472"/>
    <w:rsid w:val="00820BAA"/>
    <w:rsid w:val="008249C4"/>
    <w:rsid w:val="00825197"/>
    <w:rsid w:val="00826DC5"/>
    <w:rsid w:val="008276A6"/>
    <w:rsid w:val="00830271"/>
    <w:rsid w:val="00831361"/>
    <w:rsid w:val="008326D9"/>
    <w:rsid w:val="00833068"/>
    <w:rsid w:val="00835C7C"/>
    <w:rsid w:val="00837236"/>
    <w:rsid w:val="008416C3"/>
    <w:rsid w:val="00842345"/>
    <w:rsid w:val="0084262F"/>
    <w:rsid w:val="00842D5A"/>
    <w:rsid w:val="008455E8"/>
    <w:rsid w:val="00851150"/>
    <w:rsid w:val="00851787"/>
    <w:rsid w:val="008520C0"/>
    <w:rsid w:val="00852F71"/>
    <w:rsid w:val="008537FA"/>
    <w:rsid w:val="00853B99"/>
    <w:rsid w:val="00853F23"/>
    <w:rsid w:val="0085425A"/>
    <w:rsid w:val="008620B6"/>
    <w:rsid w:val="008632CE"/>
    <w:rsid w:val="00864328"/>
    <w:rsid w:val="00864779"/>
    <w:rsid w:val="00866A8B"/>
    <w:rsid w:val="008674C5"/>
    <w:rsid w:val="008719C2"/>
    <w:rsid w:val="008725EC"/>
    <w:rsid w:val="008737CF"/>
    <w:rsid w:val="0087469D"/>
    <w:rsid w:val="00876638"/>
    <w:rsid w:val="00877C3C"/>
    <w:rsid w:val="00880437"/>
    <w:rsid w:val="00880578"/>
    <w:rsid w:val="0088073C"/>
    <w:rsid w:val="00881A2E"/>
    <w:rsid w:val="00881C1C"/>
    <w:rsid w:val="00882831"/>
    <w:rsid w:val="008879F2"/>
    <w:rsid w:val="00890D35"/>
    <w:rsid w:val="008921FC"/>
    <w:rsid w:val="0089296A"/>
    <w:rsid w:val="00892E7B"/>
    <w:rsid w:val="008940B0"/>
    <w:rsid w:val="00896B13"/>
    <w:rsid w:val="008A56C4"/>
    <w:rsid w:val="008A7B58"/>
    <w:rsid w:val="008B1527"/>
    <w:rsid w:val="008B1AD7"/>
    <w:rsid w:val="008B312F"/>
    <w:rsid w:val="008B44D2"/>
    <w:rsid w:val="008B4FE2"/>
    <w:rsid w:val="008B73A2"/>
    <w:rsid w:val="008B7F05"/>
    <w:rsid w:val="008B7F9E"/>
    <w:rsid w:val="008C083D"/>
    <w:rsid w:val="008C1B10"/>
    <w:rsid w:val="008C1F90"/>
    <w:rsid w:val="008C2D57"/>
    <w:rsid w:val="008C48BF"/>
    <w:rsid w:val="008C68EE"/>
    <w:rsid w:val="008D0C95"/>
    <w:rsid w:val="008D135A"/>
    <w:rsid w:val="008D3417"/>
    <w:rsid w:val="008D3551"/>
    <w:rsid w:val="008D7076"/>
    <w:rsid w:val="008D7DBF"/>
    <w:rsid w:val="008E0DBD"/>
    <w:rsid w:val="008E3340"/>
    <w:rsid w:val="008E5154"/>
    <w:rsid w:val="008E5685"/>
    <w:rsid w:val="008F0856"/>
    <w:rsid w:val="008F153F"/>
    <w:rsid w:val="008F2128"/>
    <w:rsid w:val="008F2FD5"/>
    <w:rsid w:val="008F77A3"/>
    <w:rsid w:val="00900F78"/>
    <w:rsid w:val="0090298E"/>
    <w:rsid w:val="00904EFD"/>
    <w:rsid w:val="00905190"/>
    <w:rsid w:val="00906E5F"/>
    <w:rsid w:val="0091038F"/>
    <w:rsid w:val="00910D3B"/>
    <w:rsid w:val="00911632"/>
    <w:rsid w:val="00913D58"/>
    <w:rsid w:val="00914E52"/>
    <w:rsid w:val="00915CAB"/>
    <w:rsid w:val="009228B3"/>
    <w:rsid w:val="00923C75"/>
    <w:rsid w:val="00923D20"/>
    <w:rsid w:val="00923F59"/>
    <w:rsid w:val="009250DA"/>
    <w:rsid w:val="0092598A"/>
    <w:rsid w:val="00930189"/>
    <w:rsid w:val="0093077F"/>
    <w:rsid w:val="00930DC6"/>
    <w:rsid w:val="009317F0"/>
    <w:rsid w:val="00931C1E"/>
    <w:rsid w:val="00932369"/>
    <w:rsid w:val="00935BB6"/>
    <w:rsid w:val="0093600F"/>
    <w:rsid w:val="009370C5"/>
    <w:rsid w:val="0094015E"/>
    <w:rsid w:val="009403DF"/>
    <w:rsid w:val="009404E5"/>
    <w:rsid w:val="00942353"/>
    <w:rsid w:val="00945515"/>
    <w:rsid w:val="00945FB9"/>
    <w:rsid w:val="009461AF"/>
    <w:rsid w:val="0094710E"/>
    <w:rsid w:val="00947810"/>
    <w:rsid w:val="00950F61"/>
    <w:rsid w:val="009513EE"/>
    <w:rsid w:val="00951548"/>
    <w:rsid w:val="0095267C"/>
    <w:rsid w:val="009529FC"/>
    <w:rsid w:val="00956D8C"/>
    <w:rsid w:val="0096001D"/>
    <w:rsid w:val="0096187F"/>
    <w:rsid w:val="00962170"/>
    <w:rsid w:val="009631F4"/>
    <w:rsid w:val="0096320C"/>
    <w:rsid w:val="00963531"/>
    <w:rsid w:val="00964184"/>
    <w:rsid w:val="00966A6A"/>
    <w:rsid w:val="00970069"/>
    <w:rsid w:val="00973EB1"/>
    <w:rsid w:val="00974B48"/>
    <w:rsid w:val="00974C86"/>
    <w:rsid w:val="00974E5C"/>
    <w:rsid w:val="00974EF5"/>
    <w:rsid w:val="00974FED"/>
    <w:rsid w:val="00975821"/>
    <w:rsid w:val="00981284"/>
    <w:rsid w:val="00982B83"/>
    <w:rsid w:val="00982B95"/>
    <w:rsid w:val="009837D1"/>
    <w:rsid w:val="0098488C"/>
    <w:rsid w:val="00984971"/>
    <w:rsid w:val="00985B4A"/>
    <w:rsid w:val="009871A3"/>
    <w:rsid w:val="009872BE"/>
    <w:rsid w:val="0099305E"/>
    <w:rsid w:val="00995B40"/>
    <w:rsid w:val="009A1D7B"/>
    <w:rsid w:val="009A3833"/>
    <w:rsid w:val="009A5B81"/>
    <w:rsid w:val="009A7A15"/>
    <w:rsid w:val="009B06CD"/>
    <w:rsid w:val="009B0CD4"/>
    <w:rsid w:val="009B161A"/>
    <w:rsid w:val="009B3B4F"/>
    <w:rsid w:val="009B423A"/>
    <w:rsid w:val="009B5490"/>
    <w:rsid w:val="009B59E1"/>
    <w:rsid w:val="009B5A39"/>
    <w:rsid w:val="009B6ED3"/>
    <w:rsid w:val="009C0A44"/>
    <w:rsid w:val="009C0B70"/>
    <w:rsid w:val="009C1269"/>
    <w:rsid w:val="009C22A4"/>
    <w:rsid w:val="009C337D"/>
    <w:rsid w:val="009C4CA4"/>
    <w:rsid w:val="009C5FCD"/>
    <w:rsid w:val="009D31C0"/>
    <w:rsid w:val="009D418B"/>
    <w:rsid w:val="009E246D"/>
    <w:rsid w:val="009E2A86"/>
    <w:rsid w:val="009E5292"/>
    <w:rsid w:val="009E569D"/>
    <w:rsid w:val="009E56B7"/>
    <w:rsid w:val="009E66CD"/>
    <w:rsid w:val="009E66EF"/>
    <w:rsid w:val="009E68F5"/>
    <w:rsid w:val="009E7E4A"/>
    <w:rsid w:val="009F0287"/>
    <w:rsid w:val="009F07EB"/>
    <w:rsid w:val="009F150E"/>
    <w:rsid w:val="009F17AD"/>
    <w:rsid w:val="009F18E6"/>
    <w:rsid w:val="009F3836"/>
    <w:rsid w:val="009F5189"/>
    <w:rsid w:val="00A0019D"/>
    <w:rsid w:val="00A00283"/>
    <w:rsid w:val="00A00FDF"/>
    <w:rsid w:val="00A01966"/>
    <w:rsid w:val="00A02B6A"/>
    <w:rsid w:val="00A049CC"/>
    <w:rsid w:val="00A05A53"/>
    <w:rsid w:val="00A05EFA"/>
    <w:rsid w:val="00A1042B"/>
    <w:rsid w:val="00A11357"/>
    <w:rsid w:val="00A12138"/>
    <w:rsid w:val="00A13347"/>
    <w:rsid w:val="00A13C4B"/>
    <w:rsid w:val="00A15531"/>
    <w:rsid w:val="00A1588C"/>
    <w:rsid w:val="00A16E2E"/>
    <w:rsid w:val="00A2046F"/>
    <w:rsid w:val="00A20DAB"/>
    <w:rsid w:val="00A23AE7"/>
    <w:rsid w:val="00A25926"/>
    <w:rsid w:val="00A279B9"/>
    <w:rsid w:val="00A3030B"/>
    <w:rsid w:val="00A3092F"/>
    <w:rsid w:val="00A30EEA"/>
    <w:rsid w:val="00A35F10"/>
    <w:rsid w:val="00A37038"/>
    <w:rsid w:val="00A40E21"/>
    <w:rsid w:val="00A42E1B"/>
    <w:rsid w:val="00A43131"/>
    <w:rsid w:val="00A447DC"/>
    <w:rsid w:val="00A4541C"/>
    <w:rsid w:val="00A47730"/>
    <w:rsid w:val="00A50D60"/>
    <w:rsid w:val="00A5119C"/>
    <w:rsid w:val="00A525AA"/>
    <w:rsid w:val="00A52642"/>
    <w:rsid w:val="00A53B4D"/>
    <w:rsid w:val="00A54EC6"/>
    <w:rsid w:val="00A56C6D"/>
    <w:rsid w:val="00A56CAF"/>
    <w:rsid w:val="00A605CA"/>
    <w:rsid w:val="00A610D1"/>
    <w:rsid w:val="00A61941"/>
    <w:rsid w:val="00A6433C"/>
    <w:rsid w:val="00A6585C"/>
    <w:rsid w:val="00A65D34"/>
    <w:rsid w:val="00A70BB1"/>
    <w:rsid w:val="00A71016"/>
    <w:rsid w:val="00A73325"/>
    <w:rsid w:val="00A762E0"/>
    <w:rsid w:val="00A8112F"/>
    <w:rsid w:val="00A8369C"/>
    <w:rsid w:val="00A83A25"/>
    <w:rsid w:val="00A8735D"/>
    <w:rsid w:val="00A87D3E"/>
    <w:rsid w:val="00A90D92"/>
    <w:rsid w:val="00A914FA"/>
    <w:rsid w:val="00A939C6"/>
    <w:rsid w:val="00A964BC"/>
    <w:rsid w:val="00A96AD9"/>
    <w:rsid w:val="00AA2F36"/>
    <w:rsid w:val="00AA673C"/>
    <w:rsid w:val="00AB2E9D"/>
    <w:rsid w:val="00AB335C"/>
    <w:rsid w:val="00AB49DA"/>
    <w:rsid w:val="00AB5B0E"/>
    <w:rsid w:val="00AB5F4C"/>
    <w:rsid w:val="00AB6ECD"/>
    <w:rsid w:val="00AB7735"/>
    <w:rsid w:val="00AB7C31"/>
    <w:rsid w:val="00AC14FF"/>
    <w:rsid w:val="00AC1F72"/>
    <w:rsid w:val="00AC333C"/>
    <w:rsid w:val="00AC3D1E"/>
    <w:rsid w:val="00AC4803"/>
    <w:rsid w:val="00AC49CF"/>
    <w:rsid w:val="00AC4E77"/>
    <w:rsid w:val="00AC54EC"/>
    <w:rsid w:val="00AC5CDC"/>
    <w:rsid w:val="00AC681A"/>
    <w:rsid w:val="00AC6EF8"/>
    <w:rsid w:val="00AC756A"/>
    <w:rsid w:val="00AD0317"/>
    <w:rsid w:val="00AD12C4"/>
    <w:rsid w:val="00AD39BA"/>
    <w:rsid w:val="00AD3DDE"/>
    <w:rsid w:val="00AD75C2"/>
    <w:rsid w:val="00AD780C"/>
    <w:rsid w:val="00AE0973"/>
    <w:rsid w:val="00AE0AAB"/>
    <w:rsid w:val="00AE135F"/>
    <w:rsid w:val="00AE4206"/>
    <w:rsid w:val="00AE554D"/>
    <w:rsid w:val="00AE5915"/>
    <w:rsid w:val="00AE6312"/>
    <w:rsid w:val="00AE7B19"/>
    <w:rsid w:val="00AF10D8"/>
    <w:rsid w:val="00AF3518"/>
    <w:rsid w:val="00AF39F7"/>
    <w:rsid w:val="00AF3DA2"/>
    <w:rsid w:val="00AF3E67"/>
    <w:rsid w:val="00AF460F"/>
    <w:rsid w:val="00AF588D"/>
    <w:rsid w:val="00AF5E4E"/>
    <w:rsid w:val="00B0394C"/>
    <w:rsid w:val="00B04503"/>
    <w:rsid w:val="00B06232"/>
    <w:rsid w:val="00B07851"/>
    <w:rsid w:val="00B1052E"/>
    <w:rsid w:val="00B10B9C"/>
    <w:rsid w:val="00B12C27"/>
    <w:rsid w:val="00B13DE1"/>
    <w:rsid w:val="00B14BFB"/>
    <w:rsid w:val="00B15D70"/>
    <w:rsid w:val="00B20086"/>
    <w:rsid w:val="00B21B0D"/>
    <w:rsid w:val="00B26552"/>
    <w:rsid w:val="00B27576"/>
    <w:rsid w:val="00B31F47"/>
    <w:rsid w:val="00B3235F"/>
    <w:rsid w:val="00B328B2"/>
    <w:rsid w:val="00B3662B"/>
    <w:rsid w:val="00B41B6D"/>
    <w:rsid w:val="00B4214E"/>
    <w:rsid w:val="00B46190"/>
    <w:rsid w:val="00B46C93"/>
    <w:rsid w:val="00B478C9"/>
    <w:rsid w:val="00B47DB0"/>
    <w:rsid w:val="00B5101B"/>
    <w:rsid w:val="00B52771"/>
    <w:rsid w:val="00B53A68"/>
    <w:rsid w:val="00B542D3"/>
    <w:rsid w:val="00B54957"/>
    <w:rsid w:val="00B562F2"/>
    <w:rsid w:val="00B61A79"/>
    <w:rsid w:val="00B6450B"/>
    <w:rsid w:val="00B65729"/>
    <w:rsid w:val="00B65E04"/>
    <w:rsid w:val="00B6604E"/>
    <w:rsid w:val="00B702C8"/>
    <w:rsid w:val="00B70C1D"/>
    <w:rsid w:val="00B722D9"/>
    <w:rsid w:val="00B75E2B"/>
    <w:rsid w:val="00B7683E"/>
    <w:rsid w:val="00B81171"/>
    <w:rsid w:val="00B812C4"/>
    <w:rsid w:val="00B83749"/>
    <w:rsid w:val="00B8704D"/>
    <w:rsid w:val="00B902D0"/>
    <w:rsid w:val="00B91BAB"/>
    <w:rsid w:val="00B9328D"/>
    <w:rsid w:val="00B933A7"/>
    <w:rsid w:val="00B940F7"/>
    <w:rsid w:val="00B95CF9"/>
    <w:rsid w:val="00B9647B"/>
    <w:rsid w:val="00BA1F8D"/>
    <w:rsid w:val="00BA24A6"/>
    <w:rsid w:val="00BA2D87"/>
    <w:rsid w:val="00BA4850"/>
    <w:rsid w:val="00BA5FA1"/>
    <w:rsid w:val="00BA6415"/>
    <w:rsid w:val="00BA6B2F"/>
    <w:rsid w:val="00BA76CD"/>
    <w:rsid w:val="00BA7958"/>
    <w:rsid w:val="00BA7A87"/>
    <w:rsid w:val="00BA7C69"/>
    <w:rsid w:val="00BB006D"/>
    <w:rsid w:val="00BB06D5"/>
    <w:rsid w:val="00BB1030"/>
    <w:rsid w:val="00BB1762"/>
    <w:rsid w:val="00BB17FE"/>
    <w:rsid w:val="00BB2138"/>
    <w:rsid w:val="00BB473E"/>
    <w:rsid w:val="00BB73EB"/>
    <w:rsid w:val="00BC0691"/>
    <w:rsid w:val="00BC29A1"/>
    <w:rsid w:val="00BC304A"/>
    <w:rsid w:val="00BC3435"/>
    <w:rsid w:val="00BC451B"/>
    <w:rsid w:val="00BC5A74"/>
    <w:rsid w:val="00BC6153"/>
    <w:rsid w:val="00BD2B9B"/>
    <w:rsid w:val="00BD6820"/>
    <w:rsid w:val="00BD7C33"/>
    <w:rsid w:val="00BE0D1F"/>
    <w:rsid w:val="00BE3986"/>
    <w:rsid w:val="00BE3A84"/>
    <w:rsid w:val="00BF0CBA"/>
    <w:rsid w:val="00BF0E7A"/>
    <w:rsid w:val="00BF18D9"/>
    <w:rsid w:val="00BF49DA"/>
    <w:rsid w:val="00BF6A5F"/>
    <w:rsid w:val="00BF6F62"/>
    <w:rsid w:val="00C00B54"/>
    <w:rsid w:val="00C0203E"/>
    <w:rsid w:val="00C02445"/>
    <w:rsid w:val="00C06CCC"/>
    <w:rsid w:val="00C07254"/>
    <w:rsid w:val="00C1085A"/>
    <w:rsid w:val="00C1134D"/>
    <w:rsid w:val="00C11DF5"/>
    <w:rsid w:val="00C164A2"/>
    <w:rsid w:val="00C16D8D"/>
    <w:rsid w:val="00C17056"/>
    <w:rsid w:val="00C1745C"/>
    <w:rsid w:val="00C17E89"/>
    <w:rsid w:val="00C20457"/>
    <w:rsid w:val="00C21936"/>
    <w:rsid w:val="00C231B5"/>
    <w:rsid w:val="00C23F39"/>
    <w:rsid w:val="00C24042"/>
    <w:rsid w:val="00C2418B"/>
    <w:rsid w:val="00C257DD"/>
    <w:rsid w:val="00C2639D"/>
    <w:rsid w:val="00C266C4"/>
    <w:rsid w:val="00C27A8A"/>
    <w:rsid w:val="00C30DC8"/>
    <w:rsid w:val="00C3247B"/>
    <w:rsid w:val="00C35152"/>
    <w:rsid w:val="00C3526A"/>
    <w:rsid w:val="00C35AA3"/>
    <w:rsid w:val="00C37B6F"/>
    <w:rsid w:val="00C37FDF"/>
    <w:rsid w:val="00C4341A"/>
    <w:rsid w:val="00C455A4"/>
    <w:rsid w:val="00C45901"/>
    <w:rsid w:val="00C46C4F"/>
    <w:rsid w:val="00C514AF"/>
    <w:rsid w:val="00C536AF"/>
    <w:rsid w:val="00C55A41"/>
    <w:rsid w:val="00C55C1A"/>
    <w:rsid w:val="00C611EE"/>
    <w:rsid w:val="00C65F97"/>
    <w:rsid w:val="00C660BC"/>
    <w:rsid w:val="00C66665"/>
    <w:rsid w:val="00C71472"/>
    <w:rsid w:val="00C71B00"/>
    <w:rsid w:val="00C71C22"/>
    <w:rsid w:val="00C72800"/>
    <w:rsid w:val="00C73D7B"/>
    <w:rsid w:val="00C74F4D"/>
    <w:rsid w:val="00C75604"/>
    <w:rsid w:val="00C75DD6"/>
    <w:rsid w:val="00C77CDA"/>
    <w:rsid w:val="00C8048D"/>
    <w:rsid w:val="00C81EB0"/>
    <w:rsid w:val="00C83EB2"/>
    <w:rsid w:val="00C842D9"/>
    <w:rsid w:val="00C84B9A"/>
    <w:rsid w:val="00C86A42"/>
    <w:rsid w:val="00C946BB"/>
    <w:rsid w:val="00C95ADB"/>
    <w:rsid w:val="00C97B98"/>
    <w:rsid w:val="00CA5B21"/>
    <w:rsid w:val="00CA7094"/>
    <w:rsid w:val="00CA7185"/>
    <w:rsid w:val="00CA7CDD"/>
    <w:rsid w:val="00CB15EF"/>
    <w:rsid w:val="00CB1C85"/>
    <w:rsid w:val="00CB21C2"/>
    <w:rsid w:val="00CB2B37"/>
    <w:rsid w:val="00CB3176"/>
    <w:rsid w:val="00CB3327"/>
    <w:rsid w:val="00CB50EE"/>
    <w:rsid w:val="00CB61FC"/>
    <w:rsid w:val="00CB7E75"/>
    <w:rsid w:val="00CC0062"/>
    <w:rsid w:val="00CC2791"/>
    <w:rsid w:val="00CC43A3"/>
    <w:rsid w:val="00CC6A5E"/>
    <w:rsid w:val="00CC7D31"/>
    <w:rsid w:val="00CC7F93"/>
    <w:rsid w:val="00CD3849"/>
    <w:rsid w:val="00CD3A02"/>
    <w:rsid w:val="00CD46CA"/>
    <w:rsid w:val="00CD75FC"/>
    <w:rsid w:val="00CE4188"/>
    <w:rsid w:val="00CE4C83"/>
    <w:rsid w:val="00CE69D2"/>
    <w:rsid w:val="00CF125D"/>
    <w:rsid w:val="00CF1EC5"/>
    <w:rsid w:val="00CF49A0"/>
    <w:rsid w:val="00CF580F"/>
    <w:rsid w:val="00CF5E52"/>
    <w:rsid w:val="00CF7648"/>
    <w:rsid w:val="00D0077F"/>
    <w:rsid w:val="00D00C09"/>
    <w:rsid w:val="00D05B5F"/>
    <w:rsid w:val="00D072E1"/>
    <w:rsid w:val="00D0791B"/>
    <w:rsid w:val="00D07AB3"/>
    <w:rsid w:val="00D114DB"/>
    <w:rsid w:val="00D1208A"/>
    <w:rsid w:val="00D1238D"/>
    <w:rsid w:val="00D12D5C"/>
    <w:rsid w:val="00D13B86"/>
    <w:rsid w:val="00D157E8"/>
    <w:rsid w:val="00D16286"/>
    <w:rsid w:val="00D167B2"/>
    <w:rsid w:val="00D17BA1"/>
    <w:rsid w:val="00D20135"/>
    <w:rsid w:val="00D2028B"/>
    <w:rsid w:val="00D217F6"/>
    <w:rsid w:val="00D21B47"/>
    <w:rsid w:val="00D21B7C"/>
    <w:rsid w:val="00D27AB1"/>
    <w:rsid w:val="00D32329"/>
    <w:rsid w:val="00D326D9"/>
    <w:rsid w:val="00D3270E"/>
    <w:rsid w:val="00D33A91"/>
    <w:rsid w:val="00D35B0F"/>
    <w:rsid w:val="00D3618A"/>
    <w:rsid w:val="00D375A5"/>
    <w:rsid w:val="00D40B6C"/>
    <w:rsid w:val="00D40BE6"/>
    <w:rsid w:val="00D41DB0"/>
    <w:rsid w:val="00D43E5E"/>
    <w:rsid w:val="00D4583E"/>
    <w:rsid w:val="00D45BCD"/>
    <w:rsid w:val="00D471CD"/>
    <w:rsid w:val="00D47BD1"/>
    <w:rsid w:val="00D505E0"/>
    <w:rsid w:val="00D50690"/>
    <w:rsid w:val="00D559FC"/>
    <w:rsid w:val="00D603F7"/>
    <w:rsid w:val="00D629EA"/>
    <w:rsid w:val="00D63643"/>
    <w:rsid w:val="00D64C25"/>
    <w:rsid w:val="00D6512E"/>
    <w:rsid w:val="00D660B3"/>
    <w:rsid w:val="00D71B81"/>
    <w:rsid w:val="00D75F3B"/>
    <w:rsid w:val="00D766C4"/>
    <w:rsid w:val="00D776CD"/>
    <w:rsid w:val="00D80C32"/>
    <w:rsid w:val="00D817CB"/>
    <w:rsid w:val="00D8277E"/>
    <w:rsid w:val="00D82B4A"/>
    <w:rsid w:val="00D8319D"/>
    <w:rsid w:val="00D83772"/>
    <w:rsid w:val="00D83D2B"/>
    <w:rsid w:val="00D8643E"/>
    <w:rsid w:val="00D86D55"/>
    <w:rsid w:val="00D8729D"/>
    <w:rsid w:val="00D87B20"/>
    <w:rsid w:val="00D94B50"/>
    <w:rsid w:val="00D95DB0"/>
    <w:rsid w:val="00D96C19"/>
    <w:rsid w:val="00DA06E9"/>
    <w:rsid w:val="00DA1CFE"/>
    <w:rsid w:val="00DA2640"/>
    <w:rsid w:val="00DA35BA"/>
    <w:rsid w:val="00DA3BA4"/>
    <w:rsid w:val="00DA45D2"/>
    <w:rsid w:val="00DA7CE8"/>
    <w:rsid w:val="00DB046A"/>
    <w:rsid w:val="00DB161E"/>
    <w:rsid w:val="00DB262B"/>
    <w:rsid w:val="00DB483A"/>
    <w:rsid w:val="00DB4E77"/>
    <w:rsid w:val="00DC02A7"/>
    <w:rsid w:val="00DC0592"/>
    <w:rsid w:val="00DC11DA"/>
    <w:rsid w:val="00DC19DA"/>
    <w:rsid w:val="00DC2E57"/>
    <w:rsid w:val="00DC413E"/>
    <w:rsid w:val="00DC5041"/>
    <w:rsid w:val="00DC73AF"/>
    <w:rsid w:val="00DD059F"/>
    <w:rsid w:val="00DD13B0"/>
    <w:rsid w:val="00DD3360"/>
    <w:rsid w:val="00DD4E82"/>
    <w:rsid w:val="00DD54A6"/>
    <w:rsid w:val="00DD6358"/>
    <w:rsid w:val="00DE3CC6"/>
    <w:rsid w:val="00DE696B"/>
    <w:rsid w:val="00DE7B94"/>
    <w:rsid w:val="00DF03DC"/>
    <w:rsid w:val="00DF0BD3"/>
    <w:rsid w:val="00DF13A0"/>
    <w:rsid w:val="00DF1ACF"/>
    <w:rsid w:val="00DF1CEC"/>
    <w:rsid w:val="00DF4C7D"/>
    <w:rsid w:val="00E00A0E"/>
    <w:rsid w:val="00E00DF3"/>
    <w:rsid w:val="00E015B5"/>
    <w:rsid w:val="00E02600"/>
    <w:rsid w:val="00E0339B"/>
    <w:rsid w:val="00E071AD"/>
    <w:rsid w:val="00E07203"/>
    <w:rsid w:val="00E1028C"/>
    <w:rsid w:val="00E11B72"/>
    <w:rsid w:val="00E120DA"/>
    <w:rsid w:val="00E153A7"/>
    <w:rsid w:val="00E15C76"/>
    <w:rsid w:val="00E174C7"/>
    <w:rsid w:val="00E176F8"/>
    <w:rsid w:val="00E17B7D"/>
    <w:rsid w:val="00E2041B"/>
    <w:rsid w:val="00E21A4A"/>
    <w:rsid w:val="00E25028"/>
    <w:rsid w:val="00E25BBB"/>
    <w:rsid w:val="00E26B6D"/>
    <w:rsid w:val="00E302DD"/>
    <w:rsid w:val="00E32802"/>
    <w:rsid w:val="00E32AED"/>
    <w:rsid w:val="00E32F91"/>
    <w:rsid w:val="00E33230"/>
    <w:rsid w:val="00E34A9A"/>
    <w:rsid w:val="00E40424"/>
    <w:rsid w:val="00E410CE"/>
    <w:rsid w:val="00E42165"/>
    <w:rsid w:val="00E452B9"/>
    <w:rsid w:val="00E45A8C"/>
    <w:rsid w:val="00E51857"/>
    <w:rsid w:val="00E51CC0"/>
    <w:rsid w:val="00E53E2C"/>
    <w:rsid w:val="00E552D2"/>
    <w:rsid w:val="00E6076B"/>
    <w:rsid w:val="00E6469C"/>
    <w:rsid w:val="00E650B7"/>
    <w:rsid w:val="00E651B4"/>
    <w:rsid w:val="00E65BF1"/>
    <w:rsid w:val="00E70009"/>
    <w:rsid w:val="00E7220A"/>
    <w:rsid w:val="00E76178"/>
    <w:rsid w:val="00E76A60"/>
    <w:rsid w:val="00E773E2"/>
    <w:rsid w:val="00E80240"/>
    <w:rsid w:val="00E81D15"/>
    <w:rsid w:val="00E81FBD"/>
    <w:rsid w:val="00E82AF6"/>
    <w:rsid w:val="00E86434"/>
    <w:rsid w:val="00E87606"/>
    <w:rsid w:val="00E877E4"/>
    <w:rsid w:val="00E917DB"/>
    <w:rsid w:val="00E93243"/>
    <w:rsid w:val="00E93BEA"/>
    <w:rsid w:val="00E96250"/>
    <w:rsid w:val="00E9661C"/>
    <w:rsid w:val="00E96B1B"/>
    <w:rsid w:val="00E9761F"/>
    <w:rsid w:val="00EA2533"/>
    <w:rsid w:val="00EA6F23"/>
    <w:rsid w:val="00EB0718"/>
    <w:rsid w:val="00EB1B12"/>
    <w:rsid w:val="00EB2AA7"/>
    <w:rsid w:val="00EB514A"/>
    <w:rsid w:val="00EB5158"/>
    <w:rsid w:val="00EB5F6D"/>
    <w:rsid w:val="00EB699C"/>
    <w:rsid w:val="00EB7903"/>
    <w:rsid w:val="00EC0471"/>
    <w:rsid w:val="00EC26A6"/>
    <w:rsid w:val="00EC38FA"/>
    <w:rsid w:val="00EC43E2"/>
    <w:rsid w:val="00ED0626"/>
    <w:rsid w:val="00ED21A6"/>
    <w:rsid w:val="00ED36E1"/>
    <w:rsid w:val="00ED4BCB"/>
    <w:rsid w:val="00EE06E9"/>
    <w:rsid w:val="00EE16E2"/>
    <w:rsid w:val="00EE1CF7"/>
    <w:rsid w:val="00EE4263"/>
    <w:rsid w:val="00EE7416"/>
    <w:rsid w:val="00EE77BE"/>
    <w:rsid w:val="00EF1116"/>
    <w:rsid w:val="00EF11CA"/>
    <w:rsid w:val="00EF2309"/>
    <w:rsid w:val="00EF4C58"/>
    <w:rsid w:val="00EF59A5"/>
    <w:rsid w:val="00F0080F"/>
    <w:rsid w:val="00F014E9"/>
    <w:rsid w:val="00F0292A"/>
    <w:rsid w:val="00F02F7C"/>
    <w:rsid w:val="00F05239"/>
    <w:rsid w:val="00F05E0E"/>
    <w:rsid w:val="00F05ED7"/>
    <w:rsid w:val="00F06102"/>
    <w:rsid w:val="00F10A20"/>
    <w:rsid w:val="00F111F5"/>
    <w:rsid w:val="00F1151D"/>
    <w:rsid w:val="00F11A7B"/>
    <w:rsid w:val="00F12287"/>
    <w:rsid w:val="00F144B5"/>
    <w:rsid w:val="00F1551B"/>
    <w:rsid w:val="00F20277"/>
    <w:rsid w:val="00F21E3E"/>
    <w:rsid w:val="00F23530"/>
    <w:rsid w:val="00F239CE"/>
    <w:rsid w:val="00F24C38"/>
    <w:rsid w:val="00F3040F"/>
    <w:rsid w:val="00F314F3"/>
    <w:rsid w:val="00F33F1A"/>
    <w:rsid w:val="00F405E7"/>
    <w:rsid w:val="00F41546"/>
    <w:rsid w:val="00F415FB"/>
    <w:rsid w:val="00F41B75"/>
    <w:rsid w:val="00F42251"/>
    <w:rsid w:val="00F424EA"/>
    <w:rsid w:val="00F42E0B"/>
    <w:rsid w:val="00F4301A"/>
    <w:rsid w:val="00F47D1D"/>
    <w:rsid w:val="00F47D2E"/>
    <w:rsid w:val="00F508A6"/>
    <w:rsid w:val="00F5190D"/>
    <w:rsid w:val="00F51C59"/>
    <w:rsid w:val="00F52252"/>
    <w:rsid w:val="00F53B9A"/>
    <w:rsid w:val="00F5444F"/>
    <w:rsid w:val="00F61D6D"/>
    <w:rsid w:val="00F62315"/>
    <w:rsid w:val="00F62888"/>
    <w:rsid w:val="00F644BB"/>
    <w:rsid w:val="00F667CB"/>
    <w:rsid w:val="00F67A49"/>
    <w:rsid w:val="00F7170C"/>
    <w:rsid w:val="00F7438B"/>
    <w:rsid w:val="00F7470F"/>
    <w:rsid w:val="00F76D07"/>
    <w:rsid w:val="00F777DC"/>
    <w:rsid w:val="00F77FA0"/>
    <w:rsid w:val="00F810DD"/>
    <w:rsid w:val="00F85D02"/>
    <w:rsid w:val="00F91435"/>
    <w:rsid w:val="00F95AD2"/>
    <w:rsid w:val="00FA1AF3"/>
    <w:rsid w:val="00FA1D02"/>
    <w:rsid w:val="00FA3EFF"/>
    <w:rsid w:val="00FA66CE"/>
    <w:rsid w:val="00FA6FE9"/>
    <w:rsid w:val="00FA7296"/>
    <w:rsid w:val="00FB4F9E"/>
    <w:rsid w:val="00FB5C7A"/>
    <w:rsid w:val="00FC0F9B"/>
    <w:rsid w:val="00FC2A21"/>
    <w:rsid w:val="00FC2A55"/>
    <w:rsid w:val="00FC2ACF"/>
    <w:rsid w:val="00FC3572"/>
    <w:rsid w:val="00FC3A34"/>
    <w:rsid w:val="00FC3B92"/>
    <w:rsid w:val="00FC4561"/>
    <w:rsid w:val="00FC46B2"/>
    <w:rsid w:val="00FC54EC"/>
    <w:rsid w:val="00FC5B82"/>
    <w:rsid w:val="00FD0AAF"/>
    <w:rsid w:val="00FD449A"/>
    <w:rsid w:val="00FD4B0D"/>
    <w:rsid w:val="00FD6626"/>
    <w:rsid w:val="00FD7308"/>
    <w:rsid w:val="00FE23E5"/>
    <w:rsid w:val="00FE4422"/>
    <w:rsid w:val="00FF278E"/>
    <w:rsid w:val="00FF2F3C"/>
    <w:rsid w:val="00FF49CD"/>
    <w:rsid w:val="00FF5652"/>
    <w:rsid w:val="00FF5BCA"/>
    <w:rsid w:val="07E13567"/>
    <w:rsid w:val="08F732DC"/>
    <w:rsid w:val="0B57681E"/>
    <w:rsid w:val="1E97141D"/>
    <w:rsid w:val="28267FA5"/>
    <w:rsid w:val="31AD0696"/>
    <w:rsid w:val="32667697"/>
    <w:rsid w:val="3C041B44"/>
    <w:rsid w:val="3E4B3711"/>
    <w:rsid w:val="4ED4505D"/>
    <w:rsid w:val="50463D38"/>
    <w:rsid w:val="5C642943"/>
    <w:rsid w:val="61584B3D"/>
    <w:rsid w:val="61FD4186"/>
    <w:rsid w:val="6EAD34A8"/>
    <w:rsid w:val="73FC40CB"/>
    <w:rsid w:val="742F5B9B"/>
    <w:rsid w:val="7F3818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nhideWhenUsed="0" w:uiPriority="0" w:semiHidden="0" w:name="heading 7"/>
    <w:lsdException w:qFormat="1" w:unhideWhenUsed="0" w:uiPriority="0" w:semiHidden="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0" w:name="annotation reference"/>
    <w:lsdException w:unhideWhenUsed="0" w:uiPriority="0" w:semiHidden="0" w:name="line number"/>
    <w:lsdException w:qFormat="1" w:unhideWhenUsed="0" w:uiPriority="0" w:semiHidden="0" w:name="page number"/>
    <w:lsdException w:qFormat="1" w:unhideWhenUsed="0" w:uiPriority="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en-US"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spacing w:before="240" w:after="60"/>
      <w:outlineLvl w:val="1"/>
    </w:pPr>
    <w:rPr>
      <w:rFonts w:ascii="Arial" w:hAnsi="Arial"/>
      <w:b/>
      <w:i/>
      <w:szCs w:val="20"/>
    </w:rPr>
  </w:style>
  <w:style w:type="paragraph" w:styleId="4">
    <w:name w:val="heading 7"/>
    <w:basedOn w:val="1"/>
    <w:next w:val="1"/>
    <w:qFormat/>
    <w:uiPriority w:val="0"/>
    <w:pPr>
      <w:keepNext/>
      <w:keepLines/>
      <w:spacing w:before="240" w:after="64" w:line="320" w:lineRule="auto"/>
      <w:outlineLvl w:val="6"/>
    </w:pPr>
    <w:rPr>
      <w:b/>
      <w:bCs/>
    </w:rPr>
  </w:style>
  <w:style w:type="paragraph" w:styleId="5">
    <w:name w:val="heading 8"/>
    <w:basedOn w:val="1"/>
    <w:next w:val="1"/>
    <w:autoRedefine/>
    <w:qFormat/>
    <w:uiPriority w:val="0"/>
    <w:pPr>
      <w:keepNext/>
      <w:widowControl w:val="0"/>
      <w:snapToGrid w:val="0"/>
      <w:spacing w:line="264" w:lineRule="auto"/>
      <w:jc w:val="both"/>
      <w:outlineLvl w:val="7"/>
    </w:pPr>
    <w:rPr>
      <w:rFonts w:eastAsia="方正小标宋简体"/>
      <w:bCs/>
      <w:snapToGrid w:val="0"/>
      <w:spacing w:val="2"/>
      <w:kern w:val="2"/>
      <w:lang w:eastAsia="zh-CN"/>
    </w:rPr>
  </w:style>
  <w:style w:type="character" w:default="1" w:styleId="21">
    <w:name w:val="Default Paragraph Font"/>
    <w:semiHidden/>
    <w:unhideWhenUsed/>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6">
    <w:name w:val="List Bullet"/>
    <w:basedOn w:val="1"/>
    <w:qFormat/>
    <w:uiPriority w:val="0"/>
    <w:pPr>
      <w:tabs>
        <w:tab w:val="left" w:pos="720"/>
      </w:tabs>
      <w:spacing w:before="60" w:after="60"/>
      <w:ind w:left="420" w:hanging="420"/>
    </w:pPr>
    <w:rPr>
      <w:rFonts w:ascii="Arial" w:hAnsi="Arial"/>
      <w:kern w:val="28"/>
      <w:sz w:val="22"/>
      <w:szCs w:val="20"/>
    </w:rPr>
  </w:style>
  <w:style w:type="paragraph" w:styleId="7">
    <w:name w:val="annotation text"/>
    <w:basedOn w:val="1"/>
    <w:semiHidden/>
    <w:qFormat/>
    <w:uiPriority w:val="0"/>
    <w:rPr>
      <w:sz w:val="20"/>
      <w:szCs w:val="20"/>
    </w:rPr>
  </w:style>
  <w:style w:type="paragraph" w:styleId="8">
    <w:name w:val="Body Text"/>
    <w:basedOn w:val="1"/>
    <w:qFormat/>
    <w:uiPriority w:val="0"/>
    <w:pPr>
      <w:spacing w:after="120"/>
    </w:pPr>
  </w:style>
  <w:style w:type="paragraph" w:styleId="9">
    <w:name w:val="Body Text Indent"/>
    <w:basedOn w:val="1"/>
    <w:qFormat/>
    <w:uiPriority w:val="0"/>
    <w:pPr>
      <w:ind w:firstLine="420" w:firstLineChars="200"/>
    </w:pPr>
  </w:style>
  <w:style w:type="paragraph" w:styleId="10">
    <w:name w:val="Body Text Indent 2"/>
    <w:basedOn w:val="1"/>
    <w:qFormat/>
    <w:uiPriority w:val="0"/>
    <w:pPr>
      <w:spacing w:after="120" w:line="480" w:lineRule="auto"/>
      <w:ind w:left="420" w:leftChars="200"/>
    </w:pPr>
  </w:style>
  <w:style w:type="paragraph" w:styleId="11">
    <w:name w:val="endnote text"/>
    <w:basedOn w:val="1"/>
    <w:link w:val="57"/>
    <w:qFormat/>
    <w:uiPriority w:val="0"/>
    <w:pPr>
      <w:widowControl w:val="0"/>
      <w:snapToGrid w:val="0"/>
    </w:pPr>
    <w:rPr>
      <w:kern w:val="2"/>
      <w:sz w:val="21"/>
      <w:lang w:eastAsia="zh-CN"/>
    </w:rPr>
  </w:style>
  <w:style w:type="paragraph" w:styleId="12">
    <w:name w:val="Balloon Text"/>
    <w:basedOn w:val="1"/>
    <w:link w:val="34"/>
    <w:qFormat/>
    <w:uiPriority w:val="0"/>
    <w:rPr>
      <w:sz w:val="18"/>
      <w:szCs w:val="18"/>
    </w:rPr>
  </w:style>
  <w:style w:type="paragraph" w:styleId="13">
    <w:name w:val="footer"/>
    <w:basedOn w:val="1"/>
    <w:link w:val="31"/>
    <w:qFormat/>
    <w:uiPriority w:val="0"/>
    <w:pPr>
      <w:tabs>
        <w:tab w:val="center" w:pos="4153"/>
        <w:tab w:val="right" w:pos="8306"/>
      </w:tabs>
      <w:snapToGrid w:val="0"/>
    </w:pPr>
    <w:rPr>
      <w:sz w:val="18"/>
      <w:szCs w:val="18"/>
    </w:rPr>
  </w:style>
  <w:style w:type="paragraph" w:styleId="14">
    <w:name w:val="header"/>
    <w:basedOn w:val="1"/>
    <w:link w:val="30"/>
    <w:qFormat/>
    <w:uiPriority w:val="0"/>
    <w:pPr>
      <w:pBdr>
        <w:bottom w:val="single" w:color="auto" w:sz="6" w:space="1"/>
      </w:pBdr>
      <w:tabs>
        <w:tab w:val="center" w:pos="4153"/>
        <w:tab w:val="right" w:pos="8306"/>
      </w:tabs>
      <w:snapToGrid w:val="0"/>
      <w:jc w:val="center"/>
    </w:pPr>
    <w:rPr>
      <w:sz w:val="18"/>
      <w:szCs w:val="18"/>
    </w:rPr>
  </w:style>
  <w:style w:type="paragraph" w:styleId="15">
    <w:name w:val="footnote text"/>
    <w:basedOn w:val="1"/>
    <w:semiHidden/>
    <w:qFormat/>
    <w:uiPriority w:val="0"/>
    <w:pPr>
      <w:snapToGrid w:val="0"/>
    </w:pPr>
    <w:rPr>
      <w:sz w:val="18"/>
      <w:szCs w:val="18"/>
    </w:rPr>
  </w:style>
  <w:style w:type="paragraph" w:styleId="16">
    <w:name w:val="Body Text Indent 3"/>
    <w:basedOn w:val="1"/>
    <w:qFormat/>
    <w:uiPriority w:val="0"/>
    <w:pPr>
      <w:spacing w:after="120"/>
      <w:ind w:left="420" w:leftChars="200"/>
    </w:pPr>
    <w:rPr>
      <w:sz w:val="16"/>
      <w:szCs w:val="16"/>
    </w:rPr>
  </w:style>
  <w:style w:type="paragraph" w:styleId="17">
    <w:name w:val="Normal (Web)"/>
    <w:basedOn w:val="1"/>
    <w:qFormat/>
    <w:uiPriority w:val="0"/>
    <w:pPr>
      <w:spacing w:before="100" w:beforeAutospacing="1" w:after="100" w:afterAutospacing="1"/>
    </w:pPr>
    <w:rPr>
      <w:rFonts w:ascii="Arial Unicode MS" w:hAnsi="Arial Unicode MS" w:eastAsia="Arial Unicode MS" w:cs="Arial Unicode MS"/>
    </w:rPr>
  </w:style>
  <w:style w:type="paragraph" w:styleId="18">
    <w:name w:val="annotation subject"/>
    <w:basedOn w:val="7"/>
    <w:next w:val="7"/>
    <w:semiHidden/>
    <w:qFormat/>
    <w:uiPriority w:val="0"/>
    <w:rPr>
      <w:b/>
      <w:bCs/>
    </w:rPr>
  </w:style>
  <w:style w:type="table" w:styleId="20">
    <w:name w:val="Table Grid"/>
    <w:basedOn w:val="19"/>
    <w:qFormat/>
    <w:uiPriority w:val="0"/>
    <w:pPr>
      <w:spacing w:before="12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endnote reference"/>
    <w:semiHidden/>
    <w:qFormat/>
    <w:uiPriority w:val="0"/>
    <w:rPr>
      <w:vertAlign w:val="superscript"/>
    </w:rPr>
  </w:style>
  <w:style w:type="character" w:styleId="23">
    <w:name w:val="page number"/>
    <w:basedOn w:val="21"/>
    <w:qFormat/>
    <w:uiPriority w:val="0"/>
  </w:style>
  <w:style w:type="character" w:styleId="24">
    <w:name w:val="Hyperlink"/>
    <w:qFormat/>
    <w:uiPriority w:val="0"/>
    <w:rPr>
      <w:color w:val="0000FF"/>
      <w:u w:val="single"/>
    </w:rPr>
  </w:style>
  <w:style w:type="character" w:styleId="25">
    <w:name w:val="annotation reference"/>
    <w:semiHidden/>
    <w:qFormat/>
    <w:uiPriority w:val="0"/>
    <w:rPr>
      <w:sz w:val="16"/>
      <w:szCs w:val="16"/>
    </w:rPr>
  </w:style>
  <w:style w:type="character" w:styleId="26">
    <w:name w:val="footnote reference"/>
    <w:semiHidden/>
    <w:qFormat/>
    <w:uiPriority w:val="0"/>
    <w:rPr>
      <w:vertAlign w:val="superscript"/>
    </w:rPr>
  </w:style>
  <w:style w:type="paragraph" w:customStyle="1" w:styleId="27">
    <w:name w:val="CAbstract"/>
    <w:basedOn w:val="1"/>
    <w:next w:val="1"/>
    <w:qFormat/>
    <w:uiPriority w:val="0"/>
    <w:pPr>
      <w:numPr>
        <w:ilvl w:val="0"/>
        <w:numId w:val="1"/>
      </w:numPr>
      <w:spacing w:before="156" w:beforeLines="50" w:after="156" w:afterLines="50"/>
      <w:ind w:left="284" w:right="378" w:rightChars="180"/>
    </w:pPr>
    <w:rPr>
      <w:sz w:val="18"/>
    </w:rPr>
  </w:style>
  <w:style w:type="paragraph" w:customStyle="1" w:styleId="28">
    <w:name w:val="CKeyWords"/>
    <w:basedOn w:val="1"/>
    <w:next w:val="1"/>
    <w:qFormat/>
    <w:uiPriority w:val="0"/>
    <w:pPr>
      <w:numPr>
        <w:ilvl w:val="0"/>
        <w:numId w:val="2"/>
      </w:numPr>
      <w:spacing w:before="156" w:beforeLines="50" w:after="156" w:afterLines="50"/>
      <w:ind w:right="378" w:rightChars="180"/>
    </w:pPr>
    <w:rPr>
      <w:sz w:val="18"/>
    </w:rPr>
  </w:style>
  <w:style w:type="paragraph" w:customStyle="1" w:styleId="29">
    <w:name w:val="CAffiliation"/>
    <w:basedOn w:val="1"/>
    <w:next w:val="27"/>
    <w:qFormat/>
    <w:uiPriority w:val="0"/>
    <w:pPr>
      <w:spacing w:before="156" w:beforeLines="50" w:after="156" w:afterLines="50"/>
      <w:jc w:val="center"/>
    </w:pPr>
    <w:rPr>
      <w:rFonts w:ascii="宋体" w:hAnsi="宋体"/>
      <w:sz w:val="15"/>
    </w:rPr>
  </w:style>
  <w:style w:type="character" w:customStyle="1" w:styleId="30">
    <w:name w:val="页眉 字符"/>
    <w:link w:val="14"/>
    <w:qFormat/>
    <w:uiPriority w:val="0"/>
    <w:rPr>
      <w:kern w:val="2"/>
      <w:sz w:val="18"/>
      <w:szCs w:val="18"/>
    </w:rPr>
  </w:style>
  <w:style w:type="character" w:customStyle="1" w:styleId="31">
    <w:name w:val="页脚 字符"/>
    <w:link w:val="13"/>
    <w:qFormat/>
    <w:uiPriority w:val="0"/>
    <w:rPr>
      <w:kern w:val="2"/>
      <w:sz w:val="18"/>
      <w:szCs w:val="18"/>
    </w:rPr>
  </w:style>
  <w:style w:type="character" w:customStyle="1" w:styleId="32">
    <w:name w:val="datatitle1"/>
    <w:qFormat/>
    <w:uiPriority w:val="0"/>
    <w:rPr>
      <w:b/>
      <w:bCs/>
      <w:color w:val="10619F"/>
      <w:sz w:val="18"/>
      <w:szCs w:val="18"/>
    </w:rPr>
  </w:style>
  <w:style w:type="paragraph" w:customStyle="1" w:styleId="33">
    <w:name w:val="CAuthor"/>
    <w:basedOn w:val="1"/>
    <w:next w:val="1"/>
    <w:qFormat/>
    <w:uiPriority w:val="0"/>
    <w:pPr>
      <w:spacing w:before="156" w:beforeLines="50" w:after="156" w:afterLines="50"/>
      <w:jc w:val="center"/>
    </w:pPr>
    <w:rPr>
      <w:rFonts w:ascii="楷体_GB2312" w:eastAsia="楷体_GB2312"/>
      <w:sz w:val="28"/>
    </w:rPr>
  </w:style>
  <w:style w:type="character" w:customStyle="1" w:styleId="34">
    <w:name w:val="批注框文本 字符"/>
    <w:link w:val="12"/>
    <w:qFormat/>
    <w:uiPriority w:val="0"/>
    <w:rPr>
      <w:kern w:val="2"/>
      <w:sz w:val="18"/>
      <w:szCs w:val="18"/>
    </w:rPr>
  </w:style>
  <w:style w:type="paragraph" w:customStyle="1" w:styleId="35">
    <w:name w:val="样式3"/>
    <w:basedOn w:val="1"/>
    <w:qFormat/>
    <w:uiPriority w:val="0"/>
    <w:pPr>
      <w:numPr>
        <w:ilvl w:val="0"/>
        <w:numId w:val="3"/>
      </w:numPr>
    </w:pPr>
    <w:rPr>
      <w:rFonts w:eastAsia="仿宋_GB2312"/>
      <w:sz w:val="32"/>
      <w:szCs w:val="32"/>
    </w:rPr>
  </w:style>
  <w:style w:type="paragraph" w:customStyle="1" w:styleId="36">
    <w:name w:val="Abstract"/>
    <w:basedOn w:val="1"/>
    <w:qFormat/>
    <w:uiPriority w:val="0"/>
    <w:pPr>
      <w:tabs>
        <w:tab w:val="center" w:pos="3480"/>
        <w:tab w:val="right" w:pos="6960"/>
      </w:tabs>
      <w:adjustRightInd w:val="0"/>
      <w:snapToGrid w:val="0"/>
      <w:spacing w:line="288" w:lineRule="auto"/>
    </w:pPr>
    <w:rPr>
      <w:rFonts w:ascii="Times" w:hAnsi="Times"/>
      <w:b/>
      <w:iCs/>
      <w:kern w:val="20"/>
      <w:sz w:val="18"/>
      <w:szCs w:val="18"/>
    </w:rPr>
  </w:style>
  <w:style w:type="paragraph" w:customStyle="1" w:styleId="37">
    <w:name w:val="Char"/>
    <w:basedOn w:val="1"/>
    <w:qFormat/>
    <w:uiPriority w:val="0"/>
    <w:pPr>
      <w:adjustRightInd w:val="0"/>
      <w:spacing w:after="160" w:line="240" w:lineRule="exact"/>
      <w:textAlignment w:val="baseline"/>
    </w:pPr>
    <w:rPr>
      <w:rFonts w:ascii="Arial" w:hAnsi="Arial" w:eastAsia="Times New Roman" w:cs="Verdana"/>
      <w:b/>
      <w:szCs w:val="20"/>
    </w:rPr>
  </w:style>
  <w:style w:type="paragraph" w:customStyle="1" w:styleId="38">
    <w:name w:val="TA_Main_Text"/>
    <w:basedOn w:val="1"/>
    <w:semiHidden/>
    <w:qFormat/>
    <w:uiPriority w:val="0"/>
    <w:pPr>
      <w:numPr>
        <w:ilvl w:val="0"/>
        <w:numId w:val="4"/>
      </w:numPr>
      <w:spacing w:line="240" w:lineRule="exact"/>
    </w:pPr>
    <w:rPr>
      <w:rFonts w:ascii="Times" w:hAnsi="Times"/>
      <w:sz w:val="20"/>
      <w:szCs w:val="20"/>
      <w:lang w:eastAsia="pt-BR"/>
    </w:rPr>
  </w:style>
  <w:style w:type="paragraph" w:customStyle="1" w:styleId="39">
    <w:name w:val="Author"/>
    <w:basedOn w:val="1"/>
    <w:next w:val="1"/>
    <w:link w:val="42"/>
    <w:qFormat/>
    <w:uiPriority w:val="0"/>
    <w:pPr>
      <w:spacing w:before="120"/>
      <w:ind w:left="720" w:hanging="720"/>
    </w:pPr>
    <w:rPr>
      <w:rFonts w:ascii="Arial" w:hAnsi="Arial"/>
      <w:b/>
      <w:szCs w:val="20"/>
    </w:rPr>
  </w:style>
  <w:style w:type="paragraph" w:customStyle="1" w:styleId="40">
    <w:name w:val="RefListing"/>
    <w:basedOn w:val="1"/>
    <w:autoRedefine/>
    <w:qFormat/>
    <w:uiPriority w:val="0"/>
    <w:pPr>
      <w:spacing w:before="60"/>
      <w:ind w:left="720" w:hanging="720"/>
    </w:pPr>
    <w:rPr>
      <w:rFonts w:ascii="Arial" w:hAnsi="Arial"/>
      <w:kern w:val="28"/>
      <w:sz w:val="22"/>
      <w:szCs w:val="20"/>
    </w:rPr>
  </w:style>
  <w:style w:type="paragraph" w:customStyle="1" w:styleId="41">
    <w:name w:val="History"/>
    <w:basedOn w:val="1"/>
    <w:qFormat/>
    <w:uiPriority w:val="0"/>
    <w:pPr>
      <w:spacing w:before="120" w:after="240"/>
      <w:ind w:left="720" w:right="720"/>
      <w:jc w:val="center"/>
    </w:pPr>
    <w:rPr>
      <w:rFonts w:ascii="Arial" w:hAnsi="Arial"/>
      <w:snapToGrid w:val="0"/>
      <w:kern w:val="28"/>
      <w:sz w:val="20"/>
      <w:szCs w:val="20"/>
    </w:rPr>
  </w:style>
  <w:style w:type="character" w:customStyle="1" w:styleId="42">
    <w:name w:val="Author Char"/>
    <w:link w:val="39"/>
    <w:autoRedefine/>
    <w:qFormat/>
    <w:uiPriority w:val="0"/>
    <w:rPr>
      <w:rFonts w:ascii="Arial" w:hAnsi="Arial" w:eastAsia="宋体"/>
      <w:b/>
      <w:sz w:val="24"/>
      <w:lang w:val="en-US" w:eastAsia="en-US" w:bidi="ar-SA"/>
    </w:rPr>
  </w:style>
  <w:style w:type="paragraph" w:customStyle="1" w:styleId="43">
    <w:name w:val="Conclusion"/>
    <w:basedOn w:val="2"/>
    <w:next w:val="1"/>
    <w:autoRedefine/>
    <w:qFormat/>
    <w:uiPriority w:val="0"/>
    <w:pPr>
      <w:keepLines w:val="0"/>
      <w:spacing w:before="240" w:after="60" w:line="240" w:lineRule="auto"/>
    </w:pPr>
    <w:rPr>
      <w:rFonts w:ascii="Arial" w:hAnsi="Arial"/>
      <w:bCs w:val="0"/>
      <w:kern w:val="28"/>
      <w:sz w:val="28"/>
      <w:szCs w:val="20"/>
    </w:rPr>
  </w:style>
  <w:style w:type="paragraph" w:customStyle="1" w:styleId="44">
    <w:name w:val="Figure"/>
    <w:basedOn w:val="1"/>
    <w:next w:val="1"/>
    <w:autoRedefine/>
    <w:qFormat/>
    <w:uiPriority w:val="0"/>
    <w:pPr>
      <w:spacing w:before="120" w:after="60"/>
      <w:jc w:val="center"/>
    </w:pPr>
    <w:rPr>
      <w:rFonts w:ascii="Arial" w:hAnsi="Arial"/>
      <w:kern w:val="28"/>
      <w:szCs w:val="20"/>
    </w:rPr>
  </w:style>
  <w:style w:type="paragraph" w:customStyle="1" w:styleId="45">
    <w:name w:val="Ref Title"/>
    <w:basedOn w:val="2"/>
    <w:next w:val="40"/>
    <w:autoRedefine/>
    <w:qFormat/>
    <w:uiPriority w:val="0"/>
    <w:pPr>
      <w:keepLines w:val="0"/>
      <w:spacing w:before="240" w:after="60" w:line="240" w:lineRule="auto"/>
    </w:pPr>
    <w:rPr>
      <w:rFonts w:ascii="Arial" w:hAnsi="Arial"/>
      <w:bCs w:val="0"/>
      <w:kern w:val="28"/>
      <w:sz w:val="28"/>
      <w:szCs w:val="20"/>
    </w:rPr>
  </w:style>
  <w:style w:type="paragraph" w:customStyle="1" w:styleId="46">
    <w:name w:val="List Start"/>
    <w:basedOn w:val="1"/>
    <w:next w:val="6"/>
    <w:autoRedefine/>
    <w:qFormat/>
    <w:uiPriority w:val="0"/>
    <w:pPr>
      <w:spacing w:before="60" w:after="60"/>
    </w:pPr>
    <w:rPr>
      <w:rFonts w:ascii="Arial" w:hAnsi="Arial"/>
      <w:kern w:val="28"/>
      <w:sz w:val="22"/>
      <w:szCs w:val="20"/>
    </w:rPr>
  </w:style>
  <w:style w:type="paragraph" w:customStyle="1" w:styleId="47">
    <w:name w:val="ConfLocation"/>
    <w:basedOn w:val="1"/>
    <w:next w:val="1"/>
    <w:autoRedefine/>
    <w:qFormat/>
    <w:uiPriority w:val="0"/>
    <w:pPr>
      <w:ind w:left="720" w:right="720"/>
      <w:jc w:val="center"/>
      <w:outlineLvl w:val="0"/>
    </w:pPr>
    <w:rPr>
      <w:rFonts w:ascii="Arial" w:hAnsi="Arial"/>
      <w:b/>
      <w:kern w:val="28"/>
      <w:szCs w:val="20"/>
    </w:rPr>
  </w:style>
  <w:style w:type="paragraph" w:customStyle="1" w:styleId="48">
    <w:name w:val="Keywords"/>
    <w:basedOn w:val="1"/>
    <w:next w:val="1"/>
    <w:autoRedefine/>
    <w:qFormat/>
    <w:uiPriority w:val="0"/>
    <w:pPr>
      <w:spacing w:before="120" w:after="240"/>
      <w:outlineLvl w:val="0"/>
    </w:pPr>
    <w:rPr>
      <w:rFonts w:ascii="Arial" w:hAnsi="Arial"/>
      <w:kern w:val="28"/>
      <w:sz w:val="22"/>
      <w:szCs w:val="20"/>
    </w:rPr>
  </w:style>
  <w:style w:type="paragraph" w:customStyle="1" w:styleId="49">
    <w:name w:val="xl26"/>
    <w:basedOn w:val="1"/>
    <w:autoRedefine/>
    <w:qFormat/>
    <w:uiPriority w:val="0"/>
    <w:pPr>
      <w:spacing w:before="100" w:beforeAutospacing="1" w:after="100" w:afterAutospacing="1"/>
    </w:pPr>
    <w:rPr>
      <w:rFonts w:ascii="Arial" w:hAnsi="Arial" w:eastAsia="Arial Unicode MS" w:cs="Arial"/>
    </w:rPr>
  </w:style>
  <w:style w:type="paragraph" w:customStyle="1" w:styleId="50">
    <w:name w:val="ConfDate"/>
    <w:basedOn w:val="47"/>
    <w:next w:val="1"/>
    <w:autoRedefine/>
    <w:qFormat/>
    <w:uiPriority w:val="0"/>
  </w:style>
  <w:style w:type="paragraph" w:customStyle="1" w:styleId="51">
    <w:name w:val="Introduction"/>
    <w:basedOn w:val="2"/>
    <w:next w:val="1"/>
    <w:autoRedefine/>
    <w:qFormat/>
    <w:uiPriority w:val="0"/>
    <w:pPr>
      <w:keepLines w:val="0"/>
      <w:spacing w:before="240" w:after="60" w:line="240" w:lineRule="auto"/>
    </w:pPr>
    <w:rPr>
      <w:rFonts w:ascii="Arial" w:hAnsi="Arial"/>
      <w:bCs w:val="0"/>
      <w:kern w:val="28"/>
      <w:sz w:val="28"/>
      <w:szCs w:val="20"/>
    </w:rPr>
  </w:style>
  <w:style w:type="paragraph" w:customStyle="1" w:styleId="52">
    <w:name w:val="M_line2"/>
    <w:basedOn w:val="1"/>
    <w:autoRedefine/>
    <w:qFormat/>
    <w:uiPriority w:val="0"/>
    <w:pPr>
      <w:pBdr>
        <w:bottom w:val="single" w:color="auto" w:sz="6" w:space="1"/>
      </w:pBdr>
      <w:spacing w:after="480" w:line="340" w:lineRule="atLeast"/>
      <w:jc w:val="both"/>
    </w:pPr>
    <w:rPr>
      <w:color w:val="000000"/>
      <w:szCs w:val="20"/>
      <w:lang w:eastAsia="de-DE"/>
    </w:rPr>
  </w:style>
  <w:style w:type="paragraph" w:customStyle="1" w:styleId="53">
    <w:name w:val="NoindentNormal"/>
    <w:basedOn w:val="1"/>
    <w:next w:val="1"/>
    <w:autoRedefine/>
    <w:qFormat/>
    <w:uiPriority w:val="0"/>
    <w:pPr>
      <w:autoSpaceDE w:val="0"/>
      <w:autoSpaceDN w:val="0"/>
      <w:adjustRightInd w:val="0"/>
      <w:jc w:val="center"/>
    </w:pPr>
    <w:rPr>
      <w:rFonts w:eastAsia="MS Mincho"/>
      <w:b/>
      <w:sz w:val="20"/>
      <w:lang w:eastAsia="ja-JP"/>
    </w:rPr>
  </w:style>
  <w:style w:type="paragraph" w:customStyle="1" w:styleId="54">
    <w:name w:val="分类号"/>
    <w:basedOn w:val="1"/>
    <w:next w:val="8"/>
    <w:autoRedefine/>
    <w:qFormat/>
    <w:uiPriority w:val="0"/>
    <w:pPr>
      <w:tabs>
        <w:tab w:val="left" w:pos="1233"/>
      </w:tabs>
      <w:spacing w:after="320"/>
      <w:jc w:val="both"/>
    </w:pPr>
    <w:rPr>
      <w:rFonts w:eastAsia="黑体"/>
      <w:iCs/>
      <w:sz w:val="18"/>
      <w:szCs w:val="20"/>
      <w:lang w:eastAsia="zh-CN"/>
    </w:rPr>
  </w:style>
  <w:style w:type="character" w:customStyle="1" w:styleId="55">
    <w:name w:val="pages"/>
    <w:basedOn w:val="21"/>
    <w:autoRedefine/>
    <w:qFormat/>
    <w:uiPriority w:val="0"/>
  </w:style>
  <w:style w:type="paragraph" w:customStyle="1" w:styleId="56">
    <w:name w:val="单位"/>
    <w:autoRedefine/>
    <w:qFormat/>
    <w:uiPriority w:val="0"/>
    <w:pPr>
      <w:ind w:left="70" w:hanging="70" w:hangingChars="70"/>
      <w:jc w:val="both"/>
    </w:pPr>
    <w:rPr>
      <w:rFonts w:ascii="Times New Roman" w:hAnsi="Times New Roman" w:eastAsia="宋体" w:cs="Times New Roman"/>
      <w:sz w:val="17"/>
      <w:lang w:val="en-US" w:eastAsia="zh-CN" w:bidi="ar-SA"/>
    </w:rPr>
  </w:style>
  <w:style w:type="character" w:customStyle="1" w:styleId="57">
    <w:name w:val="尾注文本 字符"/>
    <w:link w:val="11"/>
    <w:autoRedefine/>
    <w:qFormat/>
    <w:uiPriority w:val="0"/>
    <w:rPr>
      <w:kern w:val="2"/>
      <w:sz w:val="21"/>
      <w:szCs w:val="24"/>
    </w:rPr>
  </w:style>
  <w:style w:type="character" w:customStyle="1" w:styleId="58">
    <w:name w:val="未处理的提及1"/>
    <w:autoRedefine/>
    <w:semiHidden/>
    <w:unhideWhenUsed/>
    <w:qFormat/>
    <w:uiPriority w:val="99"/>
    <w:rPr>
      <w:color w:val="605E5C"/>
      <w:shd w:val="clear" w:color="auto" w:fill="E1DFDD"/>
    </w:rPr>
  </w:style>
  <w:style w:type="paragraph" w:customStyle="1" w:styleId="59">
    <w:name w:val="修订1"/>
    <w:autoRedefine/>
    <w:hidden/>
    <w:semiHidden/>
    <w:qFormat/>
    <w:uiPriority w:val="99"/>
    <w:rPr>
      <w:rFonts w:ascii="Times New Roman" w:hAnsi="Times New Roman" w:eastAsia="宋体" w:cs="Times New Roman"/>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file:///F:\four\calculat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6553674925532"/>
          <c:y val="0.0514005540974045"/>
          <c:w val="0.618695207087384"/>
          <c:h val="0.508646520536284"/>
        </c:manualLayout>
      </c:layout>
      <c:barChart>
        <c:barDir val="col"/>
        <c:grouping val="clustered"/>
        <c:varyColors val="0"/>
        <c:ser>
          <c:idx val="1"/>
          <c:order val="1"/>
          <c:tx>
            <c:strRef>
              <c:f>经营主体!$D$44</c:f>
              <c:strCache>
                <c:ptCount val="1"/>
                <c:pt idx="0">
                  <c:v>丁镇规模</c:v>
                </c:pt>
              </c:strCache>
            </c:strRef>
          </c:tx>
          <c:invertIfNegative val="0"/>
          <c:dLbls>
            <c:delete val="1"/>
          </c:dLbls>
          <c:cat>
            <c:strRef>
              <c:f>经营主体!$B$45:$B$52</c:f>
              <c:strCache>
                <c:ptCount val="8"/>
                <c:pt idx="0">
                  <c:v>2010之前</c:v>
                </c:pt>
                <c:pt idx="1">
                  <c:v>2010</c:v>
                </c:pt>
                <c:pt idx="2">
                  <c:v>2011</c:v>
                </c:pt>
                <c:pt idx="3">
                  <c:v>2012</c:v>
                </c:pt>
                <c:pt idx="4">
                  <c:v>2013</c:v>
                </c:pt>
                <c:pt idx="5">
                  <c:v>2014</c:v>
                </c:pt>
                <c:pt idx="6">
                  <c:v>2015</c:v>
                </c:pt>
                <c:pt idx="7">
                  <c:v>2016</c:v>
                </c:pt>
              </c:strCache>
            </c:strRef>
          </c:cat>
          <c:val>
            <c:numRef>
              <c:f>经营主体!$D$60:$D$67</c:f>
              <c:numCache>
                <c:formatCode>General</c:formatCode>
                <c:ptCount val="8"/>
                <c:pt idx="0">
                  <c:v>120.906666666667</c:v>
                </c:pt>
                <c:pt idx="1">
                  <c:v>130.24</c:v>
                </c:pt>
                <c:pt idx="2">
                  <c:v>369.34</c:v>
                </c:pt>
                <c:pt idx="3">
                  <c:v>418.34</c:v>
                </c:pt>
                <c:pt idx="4">
                  <c:v>492.08</c:v>
                </c:pt>
                <c:pt idx="5">
                  <c:v>594.58</c:v>
                </c:pt>
                <c:pt idx="6">
                  <c:v>707.846666666667</c:v>
                </c:pt>
                <c:pt idx="7">
                  <c:v>709.446666666667</c:v>
                </c:pt>
              </c:numCache>
            </c:numRef>
          </c:val>
        </c:ser>
        <c:dLbls>
          <c:showLegendKey val="0"/>
          <c:showVal val="0"/>
          <c:showCatName val="0"/>
          <c:showSerName val="0"/>
          <c:showPercent val="0"/>
          <c:showBubbleSize val="0"/>
        </c:dLbls>
        <c:gapWidth val="150"/>
        <c:axId val="730034688"/>
        <c:axId val="223024192"/>
      </c:barChart>
      <c:lineChart>
        <c:grouping val="standard"/>
        <c:varyColors val="0"/>
        <c:ser>
          <c:idx val="0"/>
          <c:order val="0"/>
          <c:tx>
            <c:strRef>
              <c:f>经营主体!$C$44</c:f>
              <c:strCache>
                <c:ptCount val="1"/>
                <c:pt idx="0">
                  <c:v>丁镇个数</c:v>
                </c:pt>
              </c:strCache>
            </c:strRef>
          </c:tx>
          <c:spPr>
            <a:ln w="19050" cap="rnd" cmpd="sng" algn="ctr">
              <a:noFill/>
              <a:prstDash val="solid"/>
              <a:round/>
            </a:ln>
          </c:spPr>
          <c:marker>
            <c:symbol val="square"/>
            <c:size val="5"/>
          </c:marker>
          <c:dLbls>
            <c:delete val="1"/>
          </c:dLbls>
          <c:cat>
            <c:strRef>
              <c:f>经营主体!$B$45:$B$52</c:f>
              <c:strCache>
                <c:ptCount val="8"/>
                <c:pt idx="0">
                  <c:v>2010之前</c:v>
                </c:pt>
                <c:pt idx="1">
                  <c:v>2010</c:v>
                </c:pt>
                <c:pt idx="2">
                  <c:v>2011</c:v>
                </c:pt>
                <c:pt idx="3">
                  <c:v>2012</c:v>
                </c:pt>
                <c:pt idx="4">
                  <c:v>2013</c:v>
                </c:pt>
                <c:pt idx="5">
                  <c:v>2014</c:v>
                </c:pt>
                <c:pt idx="6">
                  <c:v>2015</c:v>
                </c:pt>
                <c:pt idx="7">
                  <c:v>2016</c:v>
                </c:pt>
              </c:strCache>
            </c:strRef>
          </c:cat>
          <c:val>
            <c:numRef>
              <c:f>经营主体!$C$60:$C$67</c:f>
              <c:numCache>
                <c:formatCode>General</c:formatCode>
                <c:ptCount val="8"/>
                <c:pt idx="0">
                  <c:v>17</c:v>
                </c:pt>
                <c:pt idx="1">
                  <c:v>20</c:v>
                </c:pt>
                <c:pt idx="2">
                  <c:v>61</c:v>
                </c:pt>
                <c:pt idx="3">
                  <c:v>82</c:v>
                </c:pt>
                <c:pt idx="4">
                  <c:v>109</c:v>
                </c:pt>
                <c:pt idx="5">
                  <c:v>148</c:v>
                </c:pt>
                <c:pt idx="6">
                  <c:v>198</c:v>
                </c:pt>
                <c:pt idx="7">
                  <c:v>198</c:v>
                </c:pt>
              </c:numCache>
            </c:numRef>
          </c:val>
          <c:smooth val="0"/>
        </c:ser>
        <c:dLbls>
          <c:showLegendKey val="0"/>
          <c:showVal val="0"/>
          <c:showCatName val="0"/>
          <c:showSerName val="0"/>
          <c:showPercent val="0"/>
          <c:showBubbleSize val="0"/>
        </c:dLbls>
        <c:marker val="1"/>
        <c:smooth val="0"/>
        <c:axId val="730035712"/>
        <c:axId val="223024768"/>
      </c:lineChart>
      <c:catAx>
        <c:axId val="730034688"/>
        <c:scaling>
          <c:orientation val="minMax"/>
        </c:scaling>
        <c:delete val="0"/>
        <c:axPos val="b"/>
        <c:title>
          <c:tx>
            <c:rich>
              <a:bodyPr rot="0" spcFirstLastPara="0" vertOverflow="ellipsis" vert="horz" wrap="square" anchor="ctr" anchorCtr="1"/>
              <a:lstStyle/>
              <a:p>
                <a:pPr>
                  <a:defRPr lang="zh-CN" sz="800" b="1" i="0" u="none" strike="noStrike" kern="1200" baseline="0">
                    <a:solidFill>
                      <a:schemeClr val="tx1"/>
                    </a:solidFill>
                    <a:latin typeface="Times New Roman" panose="02020603050405020304" charset="0"/>
                    <a:ea typeface="宋体" panose="02010600030101010101" charset="-122"/>
                    <a:cs typeface="Times New Roman" panose="02020603050405020304" charset="0"/>
                  </a:defRPr>
                </a:pPr>
                <a:r>
                  <a:rPr lang="zh-CN" b="0"/>
                  <a:t>年份</a:t>
                </a:r>
                <a:endParaRPr lang="zh-CN" b="0"/>
              </a:p>
            </c:rich>
          </c:tx>
          <c:layout>
            <c:manualLayout>
              <c:xMode val="edge"/>
              <c:yMode val="edge"/>
              <c:x val="0.453574095026978"/>
              <c:y val="0.778645101794708"/>
            </c:manualLayout>
          </c:layout>
          <c:overlay val="0"/>
        </c:title>
        <c:numFmt formatCode="General" sourceLinked="0"/>
        <c:majorTickMark val="in"/>
        <c:minorTickMark val="none"/>
        <c:tickLblPos val="nextTo"/>
        <c:txPr>
          <a:bodyPr rot="-60000000" spcFirstLastPara="0" vertOverflow="ellipsis" vert="horz" wrap="square" anchor="ctr" anchorCtr="1"/>
          <a:lstStyle/>
          <a:p>
            <a:pPr>
              <a:defRPr lang="zh-CN" sz="800" b="0" i="0" u="none" strike="noStrike" kern="1200" baseline="0">
                <a:solidFill>
                  <a:schemeClr val="tx1"/>
                </a:solidFill>
                <a:latin typeface="Times New Roman" panose="02020603050405020304" charset="0"/>
                <a:ea typeface="宋体" panose="02010600030101010101" charset="-122"/>
                <a:cs typeface="Times New Roman" panose="02020603050405020304" charset="0"/>
              </a:defRPr>
            </a:pPr>
          </a:p>
        </c:txPr>
        <c:crossAx val="223024192"/>
        <c:crosses val="autoZero"/>
        <c:auto val="1"/>
        <c:lblAlgn val="ctr"/>
        <c:lblOffset val="100"/>
        <c:noMultiLvlLbl val="0"/>
      </c:catAx>
      <c:valAx>
        <c:axId val="223024192"/>
        <c:scaling>
          <c:orientation val="minMax"/>
        </c:scaling>
        <c:delete val="0"/>
        <c:axPos val="l"/>
        <c:title>
          <c:tx>
            <c:rich>
              <a:bodyPr rot="-5400000" spcFirstLastPara="0" vertOverflow="ellipsis" vert="horz" wrap="square" anchor="ctr" anchorCtr="1"/>
              <a:lstStyle/>
              <a:p>
                <a:pPr>
                  <a:defRPr lang="zh-CN" sz="800" b="1" i="0" u="none" strike="noStrike" kern="1200" baseline="0">
                    <a:solidFill>
                      <a:schemeClr val="tx1"/>
                    </a:solidFill>
                    <a:latin typeface="Times New Roman" panose="02020603050405020304" charset="0"/>
                    <a:ea typeface="宋体" panose="02010600030101010101" charset="-122"/>
                    <a:cs typeface="Times New Roman" panose="02020603050405020304" charset="0"/>
                  </a:defRPr>
                </a:pPr>
                <a:r>
                  <a:rPr lang="zh-CN" b="0">
                    <a:latin typeface="Times New Roman" panose="02020603050405020304" charset="0"/>
                    <a:ea typeface="宋体" panose="02010600030101010101" charset="-122"/>
                    <a:cs typeface="Times New Roman" panose="02020603050405020304" charset="0"/>
                  </a:rPr>
                  <a:t>主体规模</a:t>
                </a:r>
                <a:r>
                  <a:rPr lang="en-US" b="0">
                    <a:latin typeface="Times New Roman" panose="02020603050405020304" charset="0"/>
                    <a:ea typeface="宋体" panose="02010600030101010101" charset="-122"/>
                    <a:cs typeface="Times New Roman" panose="02020603050405020304" charset="0"/>
                  </a:rPr>
                  <a:t>/h</a:t>
                </a:r>
                <a:r>
                  <a:rPr lang="en-US" altLang="zh-CN" b="0">
                    <a:latin typeface="Times New Roman" panose="02020603050405020304" charset="0"/>
                    <a:ea typeface="宋体" panose="02010600030101010101" charset="-122"/>
                    <a:cs typeface="Times New Roman" panose="02020603050405020304" charset="0"/>
                  </a:rPr>
                  <a:t>m</a:t>
                </a:r>
                <a:r>
                  <a:rPr lang="en-US" altLang="zh-CN" b="0" baseline="30000">
                    <a:latin typeface="Times New Roman" panose="02020603050405020304" charset="0"/>
                    <a:ea typeface="宋体" panose="02010600030101010101" charset="-122"/>
                    <a:cs typeface="Times New Roman" panose="02020603050405020304" charset="0"/>
                  </a:rPr>
                  <a:t>2</a:t>
                </a:r>
                <a:endParaRPr lang="zh-CN" b="0" baseline="30000">
                  <a:latin typeface="Times New Roman" panose="02020603050405020304" charset="0"/>
                  <a:ea typeface="宋体" panose="02010600030101010101" charset="-122"/>
                  <a:cs typeface="Times New Roman" panose="02020603050405020304" charset="0"/>
                </a:endParaRPr>
              </a:p>
            </c:rich>
          </c:tx>
          <c:layout>
            <c:manualLayout>
              <c:xMode val="edge"/>
              <c:yMode val="edge"/>
              <c:x val="0.0188172043010753"/>
              <c:y val="0.152332056465915"/>
            </c:manualLayout>
          </c:layout>
          <c:overlay val="0"/>
        </c:title>
        <c:numFmt formatCode="General" sourceLinked="1"/>
        <c:majorTickMark val="in"/>
        <c:minorTickMark val="none"/>
        <c:tickLblPos val="nextTo"/>
        <c:spPr>
          <a:ln w="6350" cap="flat" cmpd="sng" algn="ctr">
            <a:solidFill>
              <a:schemeClr val="tx1">
                <a:tint val="75000"/>
              </a:schemeClr>
            </a:solidFill>
            <a:prstDash val="solid"/>
            <a:round/>
          </a:ln>
        </c:spPr>
        <c:txPr>
          <a:bodyPr rot="-60000000" spcFirstLastPara="0" vertOverflow="ellipsis" vert="horz" wrap="square" anchor="ctr" anchorCtr="1"/>
          <a:lstStyle/>
          <a:p>
            <a:pPr>
              <a:defRPr lang="zh-CN" sz="800" b="0" i="0" u="none" strike="noStrike" kern="1200" baseline="0">
                <a:solidFill>
                  <a:schemeClr val="tx1"/>
                </a:solidFill>
                <a:latin typeface="Times New Roman" panose="02020603050405020304" charset="0"/>
                <a:ea typeface="宋体" panose="02010600030101010101" charset="-122"/>
                <a:cs typeface="Times New Roman" panose="02020603050405020304" charset="0"/>
              </a:defRPr>
            </a:pPr>
          </a:p>
        </c:txPr>
        <c:crossAx val="730034688"/>
        <c:crosses val="autoZero"/>
        <c:crossBetween val="between"/>
      </c:valAx>
      <c:catAx>
        <c:axId val="730035712"/>
        <c:scaling>
          <c:orientation val="minMax"/>
        </c:scaling>
        <c:delete val="1"/>
        <c:axPos val="b"/>
        <c:numFmt formatCode="General" sourceLinked="1"/>
        <c:majorTickMark val="out"/>
        <c:minorTickMark val="none"/>
        <c:tickLblPos val="nextTo"/>
        <c:txPr>
          <a:bodyPr rot="-60000000" spcFirstLastPara="0" vertOverflow="ellipsis" vert="horz" wrap="square" anchor="ctr" anchorCtr="1"/>
          <a:lstStyle/>
          <a:p>
            <a:pPr>
              <a:defRPr lang="zh-CN" sz="800" b="0" i="0" u="none" strike="noStrike" kern="1200" baseline="0">
                <a:solidFill>
                  <a:schemeClr val="tx1"/>
                </a:solidFill>
                <a:latin typeface="Times New Roman" panose="02020603050405020304" charset="0"/>
                <a:ea typeface="宋体" panose="02010600030101010101" charset="-122"/>
                <a:cs typeface="Times New Roman" panose="02020603050405020304" charset="0"/>
              </a:defRPr>
            </a:pPr>
          </a:p>
        </c:txPr>
        <c:crossAx val="223024768"/>
        <c:crosses val="autoZero"/>
        <c:auto val="1"/>
        <c:lblAlgn val="ctr"/>
        <c:lblOffset val="100"/>
        <c:noMultiLvlLbl val="0"/>
      </c:catAx>
      <c:valAx>
        <c:axId val="223024768"/>
        <c:scaling>
          <c:orientation val="minMax"/>
        </c:scaling>
        <c:delete val="0"/>
        <c:axPos val="r"/>
        <c:title>
          <c:tx>
            <c:rich>
              <a:bodyPr rot="-5400000" spcFirstLastPara="0" vertOverflow="ellipsis" vert="horz" wrap="square" anchor="ctr" anchorCtr="1"/>
              <a:lstStyle/>
              <a:p>
                <a:pPr>
                  <a:defRPr lang="zh-CN" sz="800" b="1" i="0" u="none" strike="noStrike" kern="1200" baseline="0">
                    <a:solidFill>
                      <a:schemeClr val="tx1"/>
                    </a:solidFill>
                    <a:latin typeface="Times New Roman" panose="02020603050405020304" charset="0"/>
                    <a:ea typeface="宋体" panose="02010600030101010101" charset="-122"/>
                    <a:cs typeface="Times New Roman" panose="02020603050405020304" charset="0"/>
                  </a:defRPr>
                </a:pPr>
                <a:r>
                  <a:rPr lang="zh-CN" b="0">
                    <a:latin typeface="宋体" panose="02010600030101010101" charset="-122"/>
                    <a:ea typeface="宋体" panose="02010600030101010101" charset="-122"/>
                  </a:rPr>
                  <a:t>主体个数</a:t>
                </a:r>
                <a:r>
                  <a:rPr lang="en-US" altLang="zh-CN" b="0">
                    <a:latin typeface="宋体" panose="02010600030101010101" charset="-122"/>
                    <a:ea typeface="宋体" panose="02010600030101010101" charset="-122"/>
                  </a:rPr>
                  <a:t>/</a:t>
                </a:r>
                <a:r>
                  <a:rPr lang="zh-CN" b="0">
                    <a:latin typeface="宋体" panose="02010600030101010101" charset="-122"/>
                    <a:ea typeface="宋体" panose="02010600030101010101" charset="-122"/>
                  </a:rPr>
                  <a:t>个</a:t>
                </a:r>
                <a:endParaRPr lang="zh-CN" b="0">
                  <a:latin typeface="宋体" panose="02010600030101010101" charset="-122"/>
                  <a:ea typeface="宋体" panose="02010600030101010101" charset="-122"/>
                </a:endParaRPr>
              </a:p>
            </c:rich>
          </c:tx>
          <c:layout/>
          <c:overlay val="0"/>
        </c:title>
        <c:numFmt formatCode="General" sourceLinked="1"/>
        <c:majorTickMark val="in"/>
        <c:minorTickMark val="none"/>
        <c:tickLblPos val="nextTo"/>
        <c:spPr>
          <a:ln w="6350" cap="flat" cmpd="sng" algn="ctr">
            <a:solidFill>
              <a:schemeClr val="tx1">
                <a:tint val="75000"/>
              </a:schemeClr>
            </a:solidFill>
            <a:prstDash val="solid"/>
            <a:round/>
          </a:ln>
        </c:spPr>
        <c:txPr>
          <a:bodyPr rot="-60000000" spcFirstLastPara="0" vertOverflow="ellipsis" vert="horz" wrap="square" anchor="ctr" anchorCtr="1"/>
          <a:lstStyle/>
          <a:p>
            <a:pPr>
              <a:defRPr lang="zh-CN" sz="800" b="0" i="0" u="none" strike="noStrike" kern="1200" baseline="0">
                <a:solidFill>
                  <a:schemeClr val="tx1"/>
                </a:solidFill>
                <a:latin typeface="Times New Roman" panose="02020603050405020304" charset="0"/>
                <a:ea typeface="宋体" panose="02010600030101010101" charset="-122"/>
                <a:cs typeface="Times New Roman" panose="02020603050405020304" charset="0"/>
              </a:defRPr>
            </a:pPr>
          </a:p>
        </c:txPr>
        <c:crossAx val="730035712"/>
        <c:crosses val="max"/>
        <c:crossBetween val="between"/>
      </c:valAx>
    </c:plotArea>
    <c:legend>
      <c:legendPos val="b"/>
      <c:layout>
        <c:manualLayout>
          <c:xMode val="edge"/>
          <c:yMode val="edge"/>
          <c:x val="0.302273840769904"/>
          <c:y val="0.902393919510061"/>
          <c:w val="0.406563210848644"/>
          <c:h val="0.0837171916010499"/>
        </c:manualLayout>
      </c:layout>
      <c:overlay val="0"/>
      <c:txPr>
        <a:bodyPr rot="0" spcFirstLastPara="0" vertOverflow="ellipsis" vert="horz" wrap="square" anchor="ctr" anchorCtr="1"/>
        <a:lstStyle/>
        <a:p>
          <a:pPr>
            <a:defRPr lang="zh-CN" sz="800" b="0" i="0" u="none" strike="noStrike" kern="1200" baseline="0">
              <a:solidFill>
                <a:schemeClr val="tx1"/>
              </a:solidFill>
              <a:latin typeface="Times New Roman" panose="02020603050405020304" charset="0"/>
              <a:ea typeface="宋体" panose="02010600030101010101" charset="-122"/>
              <a:cs typeface="Times New Roman" panose="02020603050405020304" charset="0"/>
            </a:defRPr>
          </a:pPr>
        </a:p>
      </c:txPr>
    </c:legend>
    <c:plotVisOnly val="1"/>
    <c:dispBlanksAs val="gap"/>
    <c:showDLblsOverMax val="0"/>
    <c:extLst>
      <c:ext uri="{0b15fc19-7d7d-44ad-8c2d-2c3a37ce22c3}">
        <chartProps xmlns="https://web.wps.cn/et/2018/main" chartId="{351b0d0a-e442-41ee-985b-4cf75ecf9a92}"/>
      </c:ext>
    </c:extLst>
  </c:chart>
  <c:txPr>
    <a:bodyPr/>
    <a:lstStyle/>
    <a:p>
      <a:pPr>
        <a:defRPr lang="zh-CN" sz="800">
          <a:latin typeface="Times New Roman" panose="02020603050405020304" charset="0"/>
          <a:ea typeface="宋体" panose="02010600030101010101" charset="-122"/>
          <a:cs typeface="Times New Roman" panose="02020603050405020304" charset="0"/>
        </a:defRPr>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F18F6A-1BEF-4E66-B62B-07DED614FF1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8</Pages>
  <Words>6319</Words>
  <Characters>8942</Characters>
  <Lines>69</Lines>
  <Paragraphs>19</Paragraphs>
  <TotalTime>1</TotalTime>
  <ScaleCrop>false</ScaleCrop>
  <LinksUpToDate>false</LinksUpToDate>
  <CharactersWithSpaces>9492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2024-12-24T01:42:00Z</dcterms:created>
  <dc:creator>微软用户</dc:creator>
  <cp:lastModifiedBy>WPS_1645409214</cp:lastModifiedBy>
  <cp:lastPrinted>2020-01-21T07:07:00Z</cp:lastPrinted>
  <dcterms:modified xsi:type="dcterms:W3CDTF">2026-03-12T09:40:53Z</dcterms:modified>
  <dc:title>Research on Misfiring Fault Diagnosis of Engine Based on Wavelet Analysis</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C102135191CA40D18268F1599749194E</vt:lpwstr>
  </property>
  <property fmtid="{D5CDD505-2E9C-101B-9397-08002B2CF9AE}" pid="4" name="KSOTemplateDocerSaveRecord">
    <vt:lpwstr>eyJoZGlkIjoiZTZhY2Q2MDllNzU4ODAzYmQyOWI2ZTdjYzRmMDM3ODMiLCJ1c2VySWQiOiIxMzM2MDIyMDAxIn0=</vt:lpwstr>
  </property>
</Properties>
</file>